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  <w:color w:val="32363a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2363a"/>
          <w:sz w:val="20"/>
          <w:szCs w:val="20"/>
          <w:highlight w:val="white"/>
          <w:u w:val="single"/>
          <w:rtl w:val="0"/>
        </w:rPr>
        <w:t xml:space="preserve">Post-Standardized Patient Encounter survey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  <w:color w:val="32363a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2363a"/>
          <w:sz w:val="20"/>
          <w:szCs w:val="20"/>
          <w:highlight w:val="white"/>
          <w:rtl w:val="0"/>
        </w:rPr>
        <w:t xml:space="preserve">Demographics: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color w:val="32363a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2363a"/>
          <w:sz w:val="20"/>
          <w:szCs w:val="20"/>
          <w:highlight w:val="white"/>
          <w:rtl w:val="0"/>
        </w:rPr>
        <w:t xml:space="preserve">Gender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color w:val="32363a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2363a"/>
          <w:sz w:val="20"/>
          <w:szCs w:val="20"/>
          <w:highlight w:val="white"/>
          <w:rtl w:val="0"/>
        </w:rPr>
        <w:t xml:space="preserve">Race/ethnicity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color w:val="32363a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2363a"/>
          <w:sz w:val="20"/>
          <w:szCs w:val="20"/>
          <w:highlight w:val="white"/>
          <w:rtl w:val="0"/>
        </w:rPr>
        <w:t xml:space="preserve">Graduate school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color w:val="32363a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2363a"/>
          <w:sz w:val="20"/>
          <w:szCs w:val="20"/>
          <w:highlight w:val="white"/>
          <w:rtl w:val="0"/>
        </w:rPr>
        <w:t xml:space="preserve">Current year in graduate school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color w:val="32363a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2363a"/>
          <w:sz w:val="20"/>
          <w:szCs w:val="20"/>
          <w:highlight w:val="white"/>
          <w:rtl w:val="0"/>
        </w:rPr>
        <w:t xml:space="preserve">Future specialty (if in the medical school)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rPr>
          <w:rFonts w:ascii="Calibri" w:cs="Calibri" w:eastAsia="Calibri" w:hAnsi="Calibri"/>
          <w:color w:val="32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32363a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32363a"/>
          <w:sz w:val="20"/>
          <w:szCs w:val="20"/>
          <w:highlight w:val="white"/>
          <w:rtl w:val="0"/>
        </w:rPr>
        <w:t xml:space="preserve">Please select the answer that best fits your level of agreement with the following statements: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enjoyed this Standardized Patient Encounter.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disagree</w:t>
      </w:r>
    </w:p>
    <w:p w:rsidR="00000000" w:rsidDel="00000000" w:rsidP="00000000" w:rsidRDefault="00000000" w:rsidRPr="00000000" w14:paraId="0000000F">
      <w:pPr>
        <w:spacing w:line="276" w:lineRule="auto"/>
        <w:ind w:left="14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Standardized Patient Encounter was valuable to my learning.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disagree</w:t>
      </w:r>
    </w:p>
    <w:p w:rsidR="00000000" w:rsidDel="00000000" w:rsidP="00000000" w:rsidRDefault="00000000" w:rsidRPr="00000000" w14:paraId="00000015">
      <w:pPr>
        <w:spacing w:line="276" w:lineRule="auto"/>
        <w:ind w:left="14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topic of the Standardized Patient Encounter was relevant to my future practice.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disagree</w:t>
      </w:r>
    </w:p>
    <w:p w:rsidR="00000000" w:rsidDel="00000000" w:rsidP="00000000" w:rsidRDefault="00000000" w:rsidRPr="00000000" w14:paraId="0000001B">
      <w:pPr>
        <w:spacing w:line="276" w:lineRule="auto"/>
        <w:ind w:left="14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Standardized Patient provided helpful feedback.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disagree</w:t>
      </w:r>
    </w:p>
    <w:p w:rsidR="00000000" w:rsidDel="00000000" w:rsidP="00000000" w:rsidRDefault="00000000" w:rsidRPr="00000000" w14:paraId="00000021">
      <w:pPr>
        <w:spacing w:line="276" w:lineRule="auto"/>
        <w:ind w:left="14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feel more competent engaging in motivational interviewing in a clinical setting after this Standardized Patient Encounter.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disagree</w:t>
      </w:r>
    </w:p>
    <w:p w:rsidR="00000000" w:rsidDel="00000000" w:rsidP="00000000" w:rsidRDefault="00000000" w:rsidRPr="00000000" w14:paraId="00000027">
      <w:pPr>
        <w:spacing w:line="276" w:lineRule="auto"/>
        <w:ind w:left="14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would recommend this Standardized Patient Encounter to my colleagues.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76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disagree</w:t>
      </w:r>
    </w:p>
    <w:p w:rsidR="00000000" w:rsidDel="00000000" w:rsidP="00000000" w:rsidRDefault="00000000" w:rsidRPr="00000000" w14:paraId="0000002D">
      <w:pPr>
        <w:spacing w:line="276" w:lineRule="auto"/>
        <w:ind w:left="14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any feedback you have on your experience with the Standardized Patient: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