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BA" w:rsidRPr="0058536C" w:rsidRDefault="00815CBA" w:rsidP="00794EEB">
      <w:pPr>
        <w:ind w:left="360"/>
      </w:pPr>
    </w:p>
    <w:p w:rsidR="00D1658E" w:rsidRPr="00794EEB" w:rsidRDefault="00D1658E">
      <w:pPr>
        <w:rPr>
          <w:b/>
          <w:sz w:val="36"/>
          <w:szCs w:val="36"/>
        </w:rPr>
      </w:pPr>
      <w:r w:rsidRPr="00794EEB">
        <w:rPr>
          <w:rFonts w:asciiTheme="majorHAnsi" w:eastAsiaTheme="majorEastAsia" w:hAnsi="Calibri" w:cstheme="majorBidi"/>
          <w:b/>
          <w:color w:val="000000" w:themeColor="text1"/>
          <w:kern w:val="24"/>
          <w:sz w:val="36"/>
          <w:szCs w:val="36"/>
        </w:rPr>
        <w:t>A</w:t>
      </w:r>
      <w:r w:rsidR="00794EEB" w:rsidRPr="00794EEB">
        <w:rPr>
          <w:rFonts w:asciiTheme="majorHAnsi" w:eastAsiaTheme="majorEastAsia" w:hAnsi="Calibri" w:cstheme="majorBidi"/>
          <w:b/>
          <w:color w:val="000000" w:themeColor="text1"/>
          <w:kern w:val="24"/>
          <w:sz w:val="36"/>
          <w:szCs w:val="36"/>
        </w:rPr>
        <w:t>n Ethical</w:t>
      </w:r>
      <w:r w:rsidRPr="00794EEB">
        <w:rPr>
          <w:rFonts w:asciiTheme="majorHAnsi" w:eastAsiaTheme="majorEastAsia" w:hAnsi="Calibri" w:cstheme="majorBidi"/>
          <w:b/>
          <w:color w:val="000000" w:themeColor="text1"/>
          <w:kern w:val="24"/>
          <w:sz w:val="36"/>
          <w:szCs w:val="36"/>
        </w:rPr>
        <w:t xml:space="preserve"> Framework for Assessing How to Respond to Patient or Family Bias</w:t>
      </w:r>
    </w:p>
    <w:p w:rsidR="00D1658E" w:rsidRDefault="00D1658E" w:rsidP="00D1658E">
      <w:pPr>
        <w:rPr>
          <w:sz w:val="24"/>
          <w:szCs w:val="24"/>
        </w:rPr>
      </w:pPr>
      <w:r w:rsidRPr="00794EEB">
        <w:rPr>
          <w:sz w:val="24"/>
          <w:szCs w:val="24"/>
        </w:rPr>
        <w:t>Adapted from an ED model by Paul-Emile, Smith, Lo, and Fernandez (2016)</w:t>
      </w:r>
    </w:p>
    <w:p w:rsidR="00794EEB" w:rsidRPr="00794EEB" w:rsidRDefault="00794EEB" w:rsidP="00D1658E">
      <w:pPr>
        <w:rPr>
          <w:sz w:val="24"/>
          <w:szCs w:val="24"/>
        </w:rPr>
      </w:pPr>
    </w:p>
    <w:p w:rsidR="00815CBA" w:rsidRPr="00794EEB" w:rsidRDefault="00135F5B" w:rsidP="00B621C5">
      <w:pPr>
        <w:rPr>
          <w:sz w:val="28"/>
          <w:szCs w:val="28"/>
        </w:rPr>
      </w:pPr>
      <w:r w:rsidRPr="00794EEB">
        <w:rPr>
          <w:b/>
          <w:sz w:val="28"/>
          <w:szCs w:val="28"/>
          <w:u w:val="single"/>
        </w:rPr>
        <w:t>Patients’ medical condition</w:t>
      </w:r>
      <w:r w:rsidR="00794EEB" w:rsidRPr="00794EEB">
        <w:rPr>
          <w:b/>
          <w:sz w:val="28"/>
          <w:szCs w:val="28"/>
          <w:u w:val="single"/>
        </w:rPr>
        <w:t>:</w:t>
      </w:r>
      <w:r w:rsidRPr="00794EEB">
        <w:rPr>
          <w:sz w:val="28"/>
          <w:szCs w:val="28"/>
          <w:u w:val="single"/>
        </w:rPr>
        <w:t xml:space="preserve"> </w:t>
      </w:r>
      <w:r w:rsidR="00D1658E" w:rsidRPr="00794EEB">
        <w:rPr>
          <w:sz w:val="28"/>
          <w:szCs w:val="28"/>
        </w:rPr>
        <w:t xml:space="preserve">  metabolic and chemistry imbalance, medication influenced, psychosis, delirium, mania, trauma</w:t>
      </w:r>
      <w:r w:rsidR="00B621C5" w:rsidRPr="00794EEB">
        <w:rPr>
          <w:sz w:val="28"/>
          <w:szCs w:val="28"/>
        </w:rPr>
        <w:t xml:space="preserve">   </w:t>
      </w:r>
      <w:r w:rsidR="00B621C5" w:rsidRPr="00794EEB">
        <w:rPr>
          <w:b/>
          <w:sz w:val="28"/>
          <w:szCs w:val="28"/>
          <w:u w:val="single"/>
        </w:rPr>
        <w:t>Impact on family:</w:t>
      </w:r>
      <w:r w:rsidR="00B621C5" w:rsidRPr="00794EEB">
        <w:rPr>
          <w:sz w:val="28"/>
          <w:szCs w:val="28"/>
        </w:rPr>
        <w:t xml:space="preserve">  Sudden onset vs decline, health literacy, shock, family dynamics, culture or language barriers</w:t>
      </w:r>
    </w:p>
    <w:p w:rsidR="00815CBA" w:rsidRPr="00794EEB" w:rsidRDefault="00135F5B" w:rsidP="00B621C5">
      <w:pPr>
        <w:rPr>
          <w:sz w:val="28"/>
          <w:szCs w:val="28"/>
        </w:rPr>
      </w:pPr>
      <w:r w:rsidRPr="00794EEB">
        <w:rPr>
          <w:b/>
          <w:sz w:val="28"/>
          <w:szCs w:val="28"/>
          <w:u w:val="single"/>
        </w:rPr>
        <w:t>Patients’ decision-making capacity</w:t>
      </w:r>
      <w:r w:rsidR="00D1658E" w:rsidRPr="00794EEB">
        <w:rPr>
          <w:b/>
          <w:sz w:val="28"/>
          <w:szCs w:val="28"/>
          <w:u w:val="single"/>
        </w:rPr>
        <w:t>:</w:t>
      </w:r>
      <w:r w:rsidR="00D1658E" w:rsidRPr="00794EEB">
        <w:rPr>
          <w:sz w:val="28"/>
          <w:szCs w:val="28"/>
        </w:rPr>
        <w:t xml:space="preserve">  </w:t>
      </w:r>
      <w:r w:rsidR="00B621C5" w:rsidRPr="00794EEB">
        <w:rPr>
          <w:sz w:val="28"/>
          <w:szCs w:val="28"/>
        </w:rPr>
        <w:t xml:space="preserve">dementia, sepsis/shock, LOC, cognitive impairment     </w:t>
      </w:r>
      <w:r w:rsidR="00B621C5" w:rsidRPr="00794EEB">
        <w:rPr>
          <w:b/>
          <w:sz w:val="28"/>
          <w:szCs w:val="28"/>
          <w:u w:val="single"/>
        </w:rPr>
        <w:t>Family</w:t>
      </w:r>
      <w:r w:rsidR="00B621C5" w:rsidRPr="00794EEB">
        <w:rPr>
          <w:sz w:val="28"/>
          <w:szCs w:val="28"/>
          <w:u w:val="single"/>
        </w:rPr>
        <w:t>:</w:t>
      </w:r>
      <w:r w:rsidRPr="00794EEB">
        <w:rPr>
          <w:sz w:val="28"/>
          <w:szCs w:val="28"/>
          <w:u w:val="single"/>
        </w:rPr>
        <w:t xml:space="preserve"> </w:t>
      </w:r>
      <w:r w:rsidR="00B621C5" w:rsidRPr="00794EEB">
        <w:rPr>
          <w:sz w:val="28"/>
          <w:szCs w:val="28"/>
          <w:u w:val="single"/>
        </w:rPr>
        <w:t xml:space="preserve"> </w:t>
      </w:r>
      <w:r w:rsidR="00B621C5" w:rsidRPr="00794EEB">
        <w:rPr>
          <w:sz w:val="28"/>
          <w:szCs w:val="28"/>
        </w:rPr>
        <w:t>designated surrogate? knowledge of patient, impairment</w:t>
      </w:r>
    </w:p>
    <w:p w:rsidR="005C6C54" w:rsidRPr="00794EEB" w:rsidRDefault="001772C0" w:rsidP="005C6C54">
      <w:pPr>
        <w:rPr>
          <w:sz w:val="28"/>
          <w:szCs w:val="28"/>
        </w:rPr>
      </w:pPr>
      <w:r>
        <w:rPr>
          <w:b/>
          <w:sz w:val="28"/>
          <w:szCs w:val="28"/>
          <w:u w:val="single"/>
        </w:rPr>
        <w:t>Reasons for the behavior/</w:t>
      </w:r>
      <w:r w:rsidR="00135F5B" w:rsidRPr="00794EEB">
        <w:rPr>
          <w:b/>
          <w:sz w:val="28"/>
          <w:szCs w:val="28"/>
          <w:u w:val="single"/>
        </w:rPr>
        <w:t>assessing accountability</w:t>
      </w:r>
      <w:r w:rsidR="005C6C54" w:rsidRPr="00794EEB">
        <w:rPr>
          <w:b/>
          <w:sz w:val="28"/>
          <w:szCs w:val="28"/>
          <w:u w:val="single"/>
        </w:rPr>
        <w:t>:</w:t>
      </w:r>
      <w:r w:rsidR="005C6C54" w:rsidRPr="00794EEB">
        <w:rPr>
          <w:sz w:val="28"/>
          <w:szCs w:val="28"/>
        </w:rPr>
        <w:t xml:space="preserve">   Fear, anger, pain, control.  Is the intent of patient/family to inflict harm?  Is awareness and intent of remarks and behaviors low?  Intention may be unclear.  Does not erase moral responsibility for the effects of the remarks or behaviors and should be addressed</w:t>
      </w:r>
    </w:p>
    <w:p w:rsidR="00815CBA" w:rsidRPr="00794EEB" w:rsidRDefault="00135F5B" w:rsidP="005C6C54">
      <w:pPr>
        <w:rPr>
          <w:sz w:val="28"/>
          <w:szCs w:val="28"/>
        </w:rPr>
      </w:pPr>
      <w:r w:rsidRPr="00794EEB">
        <w:rPr>
          <w:b/>
          <w:sz w:val="28"/>
          <w:szCs w:val="28"/>
          <w:u w:val="single"/>
        </w:rPr>
        <w:t>Effect on the caregiver</w:t>
      </w:r>
      <w:r w:rsidR="005C6C54" w:rsidRPr="00794EEB">
        <w:rPr>
          <w:sz w:val="28"/>
          <w:szCs w:val="28"/>
          <w:u w:val="single"/>
        </w:rPr>
        <w:t xml:space="preserve">:  </w:t>
      </w:r>
      <w:r w:rsidR="005C6C54" w:rsidRPr="00794EEB">
        <w:rPr>
          <w:sz w:val="28"/>
          <w:szCs w:val="28"/>
        </w:rPr>
        <w:t>Effect on the victim is thought to be worse when accountability is judged to be high but even in someone not accountable, the remark or behavior can still be profoundly wounding</w:t>
      </w:r>
    </w:p>
    <w:p w:rsidR="00815CBA" w:rsidRDefault="00135F5B" w:rsidP="005C6C54">
      <w:pPr>
        <w:rPr>
          <w:sz w:val="28"/>
          <w:szCs w:val="28"/>
        </w:rPr>
      </w:pPr>
      <w:r w:rsidRPr="00794EEB">
        <w:rPr>
          <w:b/>
          <w:sz w:val="28"/>
          <w:szCs w:val="28"/>
          <w:u w:val="single"/>
        </w:rPr>
        <w:t>Options for response to the bias/discrimination:  in clinic and on the service</w:t>
      </w:r>
      <w:r w:rsidR="005C6C54" w:rsidRPr="00794EEB">
        <w:rPr>
          <w:sz w:val="28"/>
          <w:szCs w:val="28"/>
          <w:u w:val="single"/>
        </w:rPr>
        <w:t xml:space="preserve">: </w:t>
      </w:r>
      <w:r w:rsidR="005C6C54" w:rsidRPr="00794EEB">
        <w:rPr>
          <w:sz w:val="28"/>
          <w:szCs w:val="28"/>
        </w:rPr>
        <w:t xml:space="preserve"> does the</w:t>
      </w:r>
      <w:r w:rsidRPr="00794EEB">
        <w:rPr>
          <w:sz w:val="28"/>
          <w:szCs w:val="28"/>
        </w:rPr>
        <w:t xml:space="preserve"> </w:t>
      </w:r>
      <w:r w:rsidR="005C6C54" w:rsidRPr="00794EEB">
        <w:rPr>
          <w:sz w:val="28"/>
          <w:szCs w:val="28"/>
        </w:rPr>
        <w:t>patient need to be stabilized?  Should they be transferred to another physician or service?  Should they be sent to another facility?  What is institutional policy?  Does the program allow residents to withdraw from care?</w:t>
      </w:r>
      <w:r w:rsidR="00794EEB" w:rsidRPr="00794EEB">
        <w:rPr>
          <w:sz w:val="28"/>
          <w:szCs w:val="28"/>
        </w:rPr>
        <w:t xml:space="preserve">  Can patient be terminated from clinic?  Can family be asked to remain away?</w:t>
      </w:r>
    </w:p>
    <w:p w:rsidR="009E6249" w:rsidRDefault="009E6249" w:rsidP="005C6C54">
      <w:pPr>
        <w:rPr>
          <w:sz w:val="28"/>
          <w:szCs w:val="28"/>
        </w:rPr>
      </w:pPr>
      <w:r>
        <w:rPr>
          <w:noProof/>
        </w:rPr>
        <w:drawing>
          <wp:inline distT="0" distB="0" distL="0" distR="0">
            <wp:extent cx="5250387" cy="7729132"/>
            <wp:effectExtent l="0" t="0" r="7620" b="5715"/>
            <wp:docPr id="1" name="Picture 1" descr="https://www.nejm.org/na101/home/literatum/publisher/mms/journals/content/nejm/2016/nejm_2016.374.issue-8/nejmp1514939/20180329/images/img_xlarge/nejmp1514939_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jm.org/na101/home/literatum/publisher/mms/journals/content/nejm/2016/nejm_2016.374.issue-8/nejmp1514939/20180329/images/img_xlarge/nejmp1514939_f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3975" cy="7734414"/>
                    </a:xfrm>
                    <a:prstGeom prst="rect">
                      <a:avLst/>
                    </a:prstGeom>
                    <a:noFill/>
                    <a:ln>
                      <a:noFill/>
                    </a:ln>
                  </pic:spPr>
                </pic:pic>
              </a:graphicData>
            </a:graphic>
          </wp:inline>
        </w:drawing>
      </w:r>
    </w:p>
    <w:p w:rsidR="009E6249" w:rsidRDefault="009E6249" w:rsidP="005C6C54">
      <w:pPr>
        <w:rPr>
          <w:sz w:val="28"/>
          <w:szCs w:val="28"/>
        </w:rPr>
      </w:pPr>
      <w:r w:rsidRPr="001772C0">
        <w:rPr>
          <w:sz w:val="24"/>
          <w:szCs w:val="24"/>
        </w:rPr>
        <w:t>n engl j med 374;8 nej</w:t>
      </w:r>
      <w:bookmarkStart w:id="0" w:name="_GoBack"/>
      <w:bookmarkEnd w:id="0"/>
      <w:r w:rsidRPr="001772C0">
        <w:rPr>
          <w:sz w:val="24"/>
          <w:szCs w:val="24"/>
        </w:rPr>
        <w:t>m.org February 25, 2016</w:t>
      </w:r>
      <w:r>
        <w:rPr>
          <w:rFonts w:ascii="OTNEJMScalaSansLFSmallCap" w:hAnsi="OTNEJMScalaSansLFSmallCap" w:cs="OTNEJMScalaSansLFSmallCap"/>
          <w:sz w:val="15"/>
          <w:szCs w:val="15"/>
        </w:rPr>
        <w:t xml:space="preserve">    </w:t>
      </w:r>
      <w:r w:rsidRPr="00794EEB">
        <w:rPr>
          <w:sz w:val="24"/>
          <w:szCs w:val="24"/>
        </w:rPr>
        <w:t>Paul-Emile, Smith, Lo, and Fernandez (2016)</w:t>
      </w:r>
    </w:p>
    <w:p w:rsidR="00794EEB" w:rsidRDefault="00794EEB" w:rsidP="005C6C54">
      <w:pPr>
        <w:rPr>
          <w:sz w:val="28"/>
          <w:szCs w:val="28"/>
        </w:rPr>
      </w:pPr>
    </w:p>
    <w:p w:rsidR="00794EEB" w:rsidRDefault="00794EEB" w:rsidP="005C6C54">
      <w:pPr>
        <w:rPr>
          <w:sz w:val="28"/>
          <w:szCs w:val="28"/>
        </w:rPr>
      </w:pPr>
    </w:p>
    <w:p w:rsidR="00794EEB" w:rsidRPr="00794EEB" w:rsidRDefault="00794EEB" w:rsidP="005C6C54">
      <w:pPr>
        <w:rPr>
          <w:sz w:val="28"/>
          <w:szCs w:val="28"/>
        </w:rPr>
      </w:pPr>
    </w:p>
    <w:p w:rsidR="00D1658E" w:rsidRDefault="00D1658E"/>
    <w:sectPr w:rsidR="00D16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49" w:rsidRDefault="009E6249" w:rsidP="009E6249">
      <w:pPr>
        <w:spacing w:after="0" w:line="240" w:lineRule="auto"/>
      </w:pPr>
      <w:r>
        <w:separator/>
      </w:r>
    </w:p>
  </w:endnote>
  <w:endnote w:type="continuationSeparator" w:id="0">
    <w:p w:rsidR="009E6249" w:rsidRDefault="009E6249" w:rsidP="009E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TNEJMScalaSansLFSmallCap">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49" w:rsidRDefault="009E6249" w:rsidP="009E6249">
      <w:pPr>
        <w:spacing w:after="0" w:line="240" w:lineRule="auto"/>
      </w:pPr>
      <w:r>
        <w:separator/>
      </w:r>
    </w:p>
  </w:footnote>
  <w:footnote w:type="continuationSeparator" w:id="0">
    <w:p w:rsidR="009E6249" w:rsidRDefault="009E6249" w:rsidP="009E6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925"/>
    <w:multiLevelType w:val="hybridMultilevel"/>
    <w:tmpl w:val="10143522"/>
    <w:lvl w:ilvl="0" w:tplc="D97060CC">
      <w:start w:val="1"/>
      <w:numFmt w:val="bullet"/>
      <w:lvlText w:val="•"/>
      <w:lvlJc w:val="left"/>
      <w:pPr>
        <w:tabs>
          <w:tab w:val="num" w:pos="720"/>
        </w:tabs>
        <w:ind w:left="720" w:hanging="360"/>
      </w:pPr>
      <w:rPr>
        <w:rFonts w:ascii="Arial" w:hAnsi="Arial" w:hint="default"/>
      </w:rPr>
    </w:lvl>
    <w:lvl w:ilvl="1" w:tplc="F614195E" w:tentative="1">
      <w:start w:val="1"/>
      <w:numFmt w:val="bullet"/>
      <w:lvlText w:val="•"/>
      <w:lvlJc w:val="left"/>
      <w:pPr>
        <w:tabs>
          <w:tab w:val="num" w:pos="1440"/>
        </w:tabs>
        <w:ind w:left="1440" w:hanging="360"/>
      </w:pPr>
      <w:rPr>
        <w:rFonts w:ascii="Arial" w:hAnsi="Arial" w:hint="default"/>
      </w:rPr>
    </w:lvl>
    <w:lvl w:ilvl="2" w:tplc="6928BC80" w:tentative="1">
      <w:start w:val="1"/>
      <w:numFmt w:val="bullet"/>
      <w:lvlText w:val="•"/>
      <w:lvlJc w:val="left"/>
      <w:pPr>
        <w:tabs>
          <w:tab w:val="num" w:pos="2160"/>
        </w:tabs>
        <w:ind w:left="2160" w:hanging="360"/>
      </w:pPr>
      <w:rPr>
        <w:rFonts w:ascii="Arial" w:hAnsi="Arial" w:hint="default"/>
      </w:rPr>
    </w:lvl>
    <w:lvl w:ilvl="3" w:tplc="31980CB4" w:tentative="1">
      <w:start w:val="1"/>
      <w:numFmt w:val="bullet"/>
      <w:lvlText w:val="•"/>
      <w:lvlJc w:val="left"/>
      <w:pPr>
        <w:tabs>
          <w:tab w:val="num" w:pos="2880"/>
        </w:tabs>
        <w:ind w:left="2880" w:hanging="360"/>
      </w:pPr>
      <w:rPr>
        <w:rFonts w:ascii="Arial" w:hAnsi="Arial" w:hint="default"/>
      </w:rPr>
    </w:lvl>
    <w:lvl w:ilvl="4" w:tplc="D5328BFC" w:tentative="1">
      <w:start w:val="1"/>
      <w:numFmt w:val="bullet"/>
      <w:lvlText w:val="•"/>
      <w:lvlJc w:val="left"/>
      <w:pPr>
        <w:tabs>
          <w:tab w:val="num" w:pos="3600"/>
        </w:tabs>
        <w:ind w:left="3600" w:hanging="360"/>
      </w:pPr>
      <w:rPr>
        <w:rFonts w:ascii="Arial" w:hAnsi="Arial" w:hint="default"/>
      </w:rPr>
    </w:lvl>
    <w:lvl w:ilvl="5" w:tplc="E43A0F04" w:tentative="1">
      <w:start w:val="1"/>
      <w:numFmt w:val="bullet"/>
      <w:lvlText w:val="•"/>
      <w:lvlJc w:val="left"/>
      <w:pPr>
        <w:tabs>
          <w:tab w:val="num" w:pos="4320"/>
        </w:tabs>
        <w:ind w:left="4320" w:hanging="360"/>
      </w:pPr>
      <w:rPr>
        <w:rFonts w:ascii="Arial" w:hAnsi="Arial" w:hint="default"/>
      </w:rPr>
    </w:lvl>
    <w:lvl w:ilvl="6" w:tplc="90E41806" w:tentative="1">
      <w:start w:val="1"/>
      <w:numFmt w:val="bullet"/>
      <w:lvlText w:val="•"/>
      <w:lvlJc w:val="left"/>
      <w:pPr>
        <w:tabs>
          <w:tab w:val="num" w:pos="5040"/>
        </w:tabs>
        <w:ind w:left="5040" w:hanging="360"/>
      </w:pPr>
      <w:rPr>
        <w:rFonts w:ascii="Arial" w:hAnsi="Arial" w:hint="default"/>
      </w:rPr>
    </w:lvl>
    <w:lvl w:ilvl="7" w:tplc="0CF20DF0" w:tentative="1">
      <w:start w:val="1"/>
      <w:numFmt w:val="bullet"/>
      <w:lvlText w:val="•"/>
      <w:lvlJc w:val="left"/>
      <w:pPr>
        <w:tabs>
          <w:tab w:val="num" w:pos="5760"/>
        </w:tabs>
        <w:ind w:left="5760" w:hanging="360"/>
      </w:pPr>
      <w:rPr>
        <w:rFonts w:ascii="Arial" w:hAnsi="Arial" w:hint="default"/>
      </w:rPr>
    </w:lvl>
    <w:lvl w:ilvl="8" w:tplc="09A436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9735E9"/>
    <w:multiLevelType w:val="hybridMultilevel"/>
    <w:tmpl w:val="C8921F68"/>
    <w:lvl w:ilvl="0" w:tplc="5E1CC722">
      <w:start w:val="1"/>
      <w:numFmt w:val="bullet"/>
      <w:lvlText w:val="•"/>
      <w:lvlJc w:val="left"/>
      <w:pPr>
        <w:tabs>
          <w:tab w:val="num" w:pos="720"/>
        </w:tabs>
        <w:ind w:left="720" w:hanging="360"/>
      </w:pPr>
      <w:rPr>
        <w:rFonts w:ascii="Arial" w:hAnsi="Arial" w:hint="default"/>
      </w:rPr>
    </w:lvl>
    <w:lvl w:ilvl="1" w:tplc="20E072CC" w:tentative="1">
      <w:start w:val="1"/>
      <w:numFmt w:val="bullet"/>
      <w:lvlText w:val="•"/>
      <w:lvlJc w:val="left"/>
      <w:pPr>
        <w:tabs>
          <w:tab w:val="num" w:pos="1440"/>
        </w:tabs>
        <w:ind w:left="1440" w:hanging="360"/>
      </w:pPr>
      <w:rPr>
        <w:rFonts w:ascii="Arial" w:hAnsi="Arial" w:hint="default"/>
      </w:rPr>
    </w:lvl>
    <w:lvl w:ilvl="2" w:tplc="5524C7BA" w:tentative="1">
      <w:start w:val="1"/>
      <w:numFmt w:val="bullet"/>
      <w:lvlText w:val="•"/>
      <w:lvlJc w:val="left"/>
      <w:pPr>
        <w:tabs>
          <w:tab w:val="num" w:pos="2160"/>
        </w:tabs>
        <w:ind w:left="2160" w:hanging="360"/>
      </w:pPr>
      <w:rPr>
        <w:rFonts w:ascii="Arial" w:hAnsi="Arial" w:hint="default"/>
      </w:rPr>
    </w:lvl>
    <w:lvl w:ilvl="3" w:tplc="BFAA5DC0" w:tentative="1">
      <w:start w:val="1"/>
      <w:numFmt w:val="bullet"/>
      <w:lvlText w:val="•"/>
      <w:lvlJc w:val="left"/>
      <w:pPr>
        <w:tabs>
          <w:tab w:val="num" w:pos="2880"/>
        </w:tabs>
        <w:ind w:left="2880" w:hanging="360"/>
      </w:pPr>
      <w:rPr>
        <w:rFonts w:ascii="Arial" w:hAnsi="Arial" w:hint="default"/>
      </w:rPr>
    </w:lvl>
    <w:lvl w:ilvl="4" w:tplc="EF1E1972" w:tentative="1">
      <w:start w:val="1"/>
      <w:numFmt w:val="bullet"/>
      <w:lvlText w:val="•"/>
      <w:lvlJc w:val="left"/>
      <w:pPr>
        <w:tabs>
          <w:tab w:val="num" w:pos="3600"/>
        </w:tabs>
        <w:ind w:left="3600" w:hanging="360"/>
      </w:pPr>
      <w:rPr>
        <w:rFonts w:ascii="Arial" w:hAnsi="Arial" w:hint="default"/>
      </w:rPr>
    </w:lvl>
    <w:lvl w:ilvl="5" w:tplc="8384FC48" w:tentative="1">
      <w:start w:val="1"/>
      <w:numFmt w:val="bullet"/>
      <w:lvlText w:val="•"/>
      <w:lvlJc w:val="left"/>
      <w:pPr>
        <w:tabs>
          <w:tab w:val="num" w:pos="4320"/>
        </w:tabs>
        <w:ind w:left="4320" w:hanging="360"/>
      </w:pPr>
      <w:rPr>
        <w:rFonts w:ascii="Arial" w:hAnsi="Arial" w:hint="default"/>
      </w:rPr>
    </w:lvl>
    <w:lvl w:ilvl="6" w:tplc="F26844DC" w:tentative="1">
      <w:start w:val="1"/>
      <w:numFmt w:val="bullet"/>
      <w:lvlText w:val="•"/>
      <w:lvlJc w:val="left"/>
      <w:pPr>
        <w:tabs>
          <w:tab w:val="num" w:pos="5040"/>
        </w:tabs>
        <w:ind w:left="5040" w:hanging="360"/>
      </w:pPr>
      <w:rPr>
        <w:rFonts w:ascii="Arial" w:hAnsi="Arial" w:hint="default"/>
      </w:rPr>
    </w:lvl>
    <w:lvl w:ilvl="7" w:tplc="4288CB2E" w:tentative="1">
      <w:start w:val="1"/>
      <w:numFmt w:val="bullet"/>
      <w:lvlText w:val="•"/>
      <w:lvlJc w:val="left"/>
      <w:pPr>
        <w:tabs>
          <w:tab w:val="num" w:pos="5760"/>
        </w:tabs>
        <w:ind w:left="5760" w:hanging="360"/>
      </w:pPr>
      <w:rPr>
        <w:rFonts w:ascii="Arial" w:hAnsi="Arial" w:hint="default"/>
      </w:rPr>
    </w:lvl>
    <w:lvl w:ilvl="8" w:tplc="4104AF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725D08"/>
    <w:multiLevelType w:val="hybridMultilevel"/>
    <w:tmpl w:val="A16C1F5C"/>
    <w:lvl w:ilvl="0" w:tplc="6ABE8DD8">
      <w:start w:val="1"/>
      <w:numFmt w:val="bullet"/>
      <w:lvlText w:val="•"/>
      <w:lvlJc w:val="left"/>
      <w:pPr>
        <w:tabs>
          <w:tab w:val="num" w:pos="720"/>
        </w:tabs>
        <w:ind w:left="720" w:hanging="360"/>
      </w:pPr>
      <w:rPr>
        <w:rFonts w:ascii="Arial" w:hAnsi="Arial" w:hint="default"/>
      </w:rPr>
    </w:lvl>
    <w:lvl w:ilvl="1" w:tplc="189C8D18" w:tentative="1">
      <w:start w:val="1"/>
      <w:numFmt w:val="bullet"/>
      <w:lvlText w:val="•"/>
      <w:lvlJc w:val="left"/>
      <w:pPr>
        <w:tabs>
          <w:tab w:val="num" w:pos="1440"/>
        </w:tabs>
        <w:ind w:left="1440" w:hanging="360"/>
      </w:pPr>
      <w:rPr>
        <w:rFonts w:ascii="Arial" w:hAnsi="Arial" w:hint="default"/>
      </w:rPr>
    </w:lvl>
    <w:lvl w:ilvl="2" w:tplc="39C0FBA4" w:tentative="1">
      <w:start w:val="1"/>
      <w:numFmt w:val="bullet"/>
      <w:lvlText w:val="•"/>
      <w:lvlJc w:val="left"/>
      <w:pPr>
        <w:tabs>
          <w:tab w:val="num" w:pos="2160"/>
        </w:tabs>
        <w:ind w:left="2160" w:hanging="360"/>
      </w:pPr>
      <w:rPr>
        <w:rFonts w:ascii="Arial" w:hAnsi="Arial" w:hint="default"/>
      </w:rPr>
    </w:lvl>
    <w:lvl w:ilvl="3" w:tplc="6966D406" w:tentative="1">
      <w:start w:val="1"/>
      <w:numFmt w:val="bullet"/>
      <w:lvlText w:val="•"/>
      <w:lvlJc w:val="left"/>
      <w:pPr>
        <w:tabs>
          <w:tab w:val="num" w:pos="2880"/>
        </w:tabs>
        <w:ind w:left="2880" w:hanging="360"/>
      </w:pPr>
      <w:rPr>
        <w:rFonts w:ascii="Arial" w:hAnsi="Arial" w:hint="default"/>
      </w:rPr>
    </w:lvl>
    <w:lvl w:ilvl="4" w:tplc="6D1651B2" w:tentative="1">
      <w:start w:val="1"/>
      <w:numFmt w:val="bullet"/>
      <w:lvlText w:val="•"/>
      <w:lvlJc w:val="left"/>
      <w:pPr>
        <w:tabs>
          <w:tab w:val="num" w:pos="3600"/>
        </w:tabs>
        <w:ind w:left="3600" w:hanging="360"/>
      </w:pPr>
      <w:rPr>
        <w:rFonts w:ascii="Arial" w:hAnsi="Arial" w:hint="default"/>
      </w:rPr>
    </w:lvl>
    <w:lvl w:ilvl="5" w:tplc="89447F46" w:tentative="1">
      <w:start w:val="1"/>
      <w:numFmt w:val="bullet"/>
      <w:lvlText w:val="•"/>
      <w:lvlJc w:val="left"/>
      <w:pPr>
        <w:tabs>
          <w:tab w:val="num" w:pos="4320"/>
        </w:tabs>
        <w:ind w:left="4320" w:hanging="360"/>
      </w:pPr>
      <w:rPr>
        <w:rFonts w:ascii="Arial" w:hAnsi="Arial" w:hint="default"/>
      </w:rPr>
    </w:lvl>
    <w:lvl w:ilvl="6" w:tplc="12BAB0E8" w:tentative="1">
      <w:start w:val="1"/>
      <w:numFmt w:val="bullet"/>
      <w:lvlText w:val="•"/>
      <w:lvlJc w:val="left"/>
      <w:pPr>
        <w:tabs>
          <w:tab w:val="num" w:pos="5040"/>
        </w:tabs>
        <w:ind w:left="5040" w:hanging="360"/>
      </w:pPr>
      <w:rPr>
        <w:rFonts w:ascii="Arial" w:hAnsi="Arial" w:hint="default"/>
      </w:rPr>
    </w:lvl>
    <w:lvl w:ilvl="7" w:tplc="61C402C2" w:tentative="1">
      <w:start w:val="1"/>
      <w:numFmt w:val="bullet"/>
      <w:lvlText w:val="•"/>
      <w:lvlJc w:val="left"/>
      <w:pPr>
        <w:tabs>
          <w:tab w:val="num" w:pos="5760"/>
        </w:tabs>
        <w:ind w:left="5760" w:hanging="360"/>
      </w:pPr>
      <w:rPr>
        <w:rFonts w:ascii="Arial" w:hAnsi="Arial" w:hint="default"/>
      </w:rPr>
    </w:lvl>
    <w:lvl w:ilvl="8" w:tplc="26222B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6C"/>
    <w:rsid w:val="00135F5B"/>
    <w:rsid w:val="001772C0"/>
    <w:rsid w:val="0058536C"/>
    <w:rsid w:val="005C6C54"/>
    <w:rsid w:val="00794EEB"/>
    <w:rsid w:val="00815CBA"/>
    <w:rsid w:val="009525CF"/>
    <w:rsid w:val="009E6249"/>
    <w:rsid w:val="00B621C5"/>
    <w:rsid w:val="00D1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F73E3-C09F-4397-AC41-B4119370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49"/>
  </w:style>
  <w:style w:type="paragraph" w:styleId="Footer">
    <w:name w:val="footer"/>
    <w:basedOn w:val="Normal"/>
    <w:link w:val="FooterChar"/>
    <w:uiPriority w:val="99"/>
    <w:unhideWhenUsed/>
    <w:rsid w:val="009E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7323">
      <w:bodyDiv w:val="1"/>
      <w:marLeft w:val="0"/>
      <w:marRight w:val="0"/>
      <w:marTop w:val="0"/>
      <w:marBottom w:val="0"/>
      <w:divBdr>
        <w:top w:val="none" w:sz="0" w:space="0" w:color="auto"/>
        <w:left w:val="none" w:sz="0" w:space="0" w:color="auto"/>
        <w:bottom w:val="none" w:sz="0" w:space="0" w:color="auto"/>
        <w:right w:val="none" w:sz="0" w:space="0" w:color="auto"/>
      </w:divBdr>
      <w:divsChild>
        <w:div w:id="1294558702">
          <w:marLeft w:val="547"/>
          <w:marRight w:val="0"/>
          <w:marTop w:val="91"/>
          <w:marBottom w:val="0"/>
          <w:divBdr>
            <w:top w:val="none" w:sz="0" w:space="0" w:color="auto"/>
            <w:left w:val="none" w:sz="0" w:space="0" w:color="auto"/>
            <w:bottom w:val="none" w:sz="0" w:space="0" w:color="auto"/>
            <w:right w:val="none" w:sz="0" w:space="0" w:color="auto"/>
          </w:divBdr>
        </w:div>
        <w:div w:id="1749305820">
          <w:marLeft w:val="547"/>
          <w:marRight w:val="0"/>
          <w:marTop w:val="91"/>
          <w:marBottom w:val="0"/>
          <w:divBdr>
            <w:top w:val="none" w:sz="0" w:space="0" w:color="auto"/>
            <w:left w:val="none" w:sz="0" w:space="0" w:color="auto"/>
            <w:bottom w:val="none" w:sz="0" w:space="0" w:color="auto"/>
            <w:right w:val="none" w:sz="0" w:space="0" w:color="auto"/>
          </w:divBdr>
        </w:div>
      </w:divsChild>
    </w:div>
    <w:div w:id="356853569">
      <w:bodyDiv w:val="1"/>
      <w:marLeft w:val="0"/>
      <w:marRight w:val="0"/>
      <w:marTop w:val="0"/>
      <w:marBottom w:val="0"/>
      <w:divBdr>
        <w:top w:val="none" w:sz="0" w:space="0" w:color="auto"/>
        <w:left w:val="none" w:sz="0" w:space="0" w:color="auto"/>
        <w:bottom w:val="none" w:sz="0" w:space="0" w:color="auto"/>
        <w:right w:val="none" w:sz="0" w:space="0" w:color="auto"/>
      </w:divBdr>
      <w:divsChild>
        <w:div w:id="1763794401">
          <w:marLeft w:val="547"/>
          <w:marRight w:val="0"/>
          <w:marTop w:val="101"/>
          <w:marBottom w:val="0"/>
          <w:divBdr>
            <w:top w:val="none" w:sz="0" w:space="0" w:color="auto"/>
            <w:left w:val="none" w:sz="0" w:space="0" w:color="auto"/>
            <w:bottom w:val="none" w:sz="0" w:space="0" w:color="auto"/>
            <w:right w:val="none" w:sz="0" w:space="0" w:color="auto"/>
          </w:divBdr>
        </w:div>
        <w:div w:id="717097224">
          <w:marLeft w:val="547"/>
          <w:marRight w:val="0"/>
          <w:marTop w:val="101"/>
          <w:marBottom w:val="0"/>
          <w:divBdr>
            <w:top w:val="none" w:sz="0" w:space="0" w:color="auto"/>
            <w:left w:val="none" w:sz="0" w:space="0" w:color="auto"/>
            <w:bottom w:val="none" w:sz="0" w:space="0" w:color="auto"/>
            <w:right w:val="none" w:sz="0" w:space="0" w:color="auto"/>
          </w:divBdr>
        </w:div>
      </w:divsChild>
    </w:div>
    <w:div w:id="951549473">
      <w:bodyDiv w:val="1"/>
      <w:marLeft w:val="0"/>
      <w:marRight w:val="0"/>
      <w:marTop w:val="0"/>
      <w:marBottom w:val="0"/>
      <w:divBdr>
        <w:top w:val="none" w:sz="0" w:space="0" w:color="auto"/>
        <w:left w:val="none" w:sz="0" w:space="0" w:color="auto"/>
        <w:bottom w:val="none" w:sz="0" w:space="0" w:color="auto"/>
        <w:right w:val="none" w:sz="0" w:space="0" w:color="auto"/>
      </w:divBdr>
      <w:divsChild>
        <w:div w:id="1438140476">
          <w:marLeft w:val="547"/>
          <w:marRight w:val="0"/>
          <w:marTop w:val="96"/>
          <w:marBottom w:val="0"/>
          <w:divBdr>
            <w:top w:val="none" w:sz="0" w:space="0" w:color="auto"/>
            <w:left w:val="none" w:sz="0" w:space="0" w:color="auto"/>
            <w:bottom w:val="none" w:sz="0" w:space="0" w:color="auto"/>
            <w:right w:val="none" w:sz="0" w:space="0" w:color="auto"/>
          </w:divBdr>
        </w:div>
        <w:div w:id="1430543918">
          <w:marLeft w:val="547"/>
          <w:marRight w:val="0"/>
          <w:marTop w:val="96"/>
          <w:marBottom w:val="0"/>
          <w:divBdr>
            <w:top w:val="none" w:sz="0" w:space="0" w:color="auto"/>
            <w:left w:val="none" w:sz="0" w:space="0" w:color="auto"/>
            <w:bottom w:val="none" w:sz="0" w:space="0" w:color="auto"/>
            <w:right w:val="none" w:sz="0" w:space="0" w:color="auto"/>
          </w:divBdr>
        </w:div>
        <w:div w:id="1941715834">
          <w:marLeft w:val="547"/>
          <w:marRight w:val="0"/>
          <w:marTop w:val="96"/>
          <w:marBottom w:val="0"/>
          <w:divBdr>
            <w:top w:val="none" w:sz="0" w:space="0" w:color="auto"/>
            <w:left w:val="none" w:sz="0" w:space="0" w:color="auto"/>
            <w:bottom w:val="none" w:sz="0" w:space="0" w:color="auto"/>
            <w:right w:val="none" w:sz="0" w:space="0" w:color="auto"/>
          </w:divBdr>
        </w:div>
        <w:div w:id="1054044302">
          <w:marLeft w:val="547"/>
          <w:marRight w:val="0"/>
          <w:marTop w:val="96"/>
          <w:marBottom w:val="0"/>
          <w:divBdr>
            <w:top w:val="none" w:sz="0" w:space="0" w:color="auto"/>
            <w:left w:val="none" w:sz="0" w:space="0" w:color="auto"/>
            <w:bottom w:val="none" w:sz="0" w:space="0" w:color="auto"/>
            <w:right w:val="none" w:sz="0" w:space="0" w:color="auto"/>
          </w:divBdr>
        </w:div>
        <w:div w:id="27579313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Navarre, Charlotte</dc:creator>
  <cp:keywords/>
  <dc:description/>
  <cp:lastModifiedBy>Hill, Jennifer M</cp:lastModifiedBy>
  <cp:revision>2</cp:revision>
  <dcterms:created xsi:type="dcterms:W3CDTF">2018-10-01T22:13:00Z</dcterms:created>
  <dcterms:modified xsi:type="dcterms:W3CDTF">2018-10-01T22:13:00Z</dcterms:modified>
</cp:coreProperties>
</file>