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F267C" w14:textId="30BFE4FF" w:rsidR="004A38DE" w:rsidRPr="00AC6492" w:rsidRDefault="6789A223" w:rsidP="6789A223">
      <w:pPr>
        <w:rPr>
          <w:b/>
          <w:bCs/>
          <w:u w:val="single"/>
        </w:rPr>
      </w:pPr>
      <w:bookmarkStart w:id="0" w:name="_GoBack"/>
      <w:bookmarkEnd w:id="0"/>
      <w:r w:rsidRPr="00AC6492">
        <w:rPr>
          <w:b/>
          <w:bCs/>
          <w:u w:val="single"/>
        </w:rPr>
        <w:t xml:space="preserve">Resources for Developing </w:t>
      </w:r>
      <w:r w:rsidR="00AC6492" w:rsidRPr="00AC6492">
        <w:rPr>
          <w:b/>
          <w:bCs/>
          <w:u w:val="single"/>
        </w:rPr>
        <w:t xml:space="preserve">a </w:t>
      </w:r>
      <w:r w:rsidRPr="00AC6492">
        <w:rPr>
          <w:b/>
          <w:bCs/>
          <w:u w:val="single"/>
        </w:rPr>
        <w:t xml:space="preserve">Population Health </w:t>
      </w:r>
      <w:r w:rsidR="00AC6492" w:rsidRPr="00AC6492">
        <w:rPr>
          <w:b/>
          <w:bCs/>
          <w:u w:val="single"/>
        </w:rPr>
        <w:t xml:space="preserve">and Leadership </w:t>
      </w:r>
      <w:r w:rsidRPr="00AC6492">
        <w:rPr>
          <w:b/>
          <w:bCs/>
          <w:u w:val="single"/>
        </w:rPr>
        <w:t>Curriculum</w:t>
      </w:r>
    </w:p>
    <w:p w14:paraId="278B2AAE" w14:textId="77777777" w:rsidR="008261E2" w:rsidRPr="00967F05" w:rsidRDefault="008261E2" w:rsidP="6789A223">
      <w:pPr>
        <w:rPr>
          <w:b/>
          <w:bCs/>
          <w:u w:val="single"/>
        </w:rPr>
      </w:pPr>
    </w:p>
    <w:p w14:paraId="0A1D3E14" w14:textId="7360416F" w:rsidR="000B319D" w:rsidRDefault="6789A223" w:rsidP="6789A223">
      <w:pPr>
        <w:rPr>
          <w:b/>
          <w:bCs/>
        </w:rPr>
      </w:pPr>
      <w:r w:rsidRPr="6789A223">
        <w:rPr>
          <w:b/>
          <w:bCs/>
        </w:rPr>
        <w:t>General Population Health and Management</w:t>
      </w:r>
    </w:p>
    <w:p w14:paraId="2A380363" w14:textId="7A691509" w:rsidR="00F379C3" w:rsidRPr="005D35B4" w:rsidRDefault="6789A223" w:rsidP="6789A223">
      <w:r w:rsidRPr="6789A223">
        <w:rPr>
          <w:u w:val="single"/>
        </w:rPr>
        <w:t>Population Health Milestones Report</w:t>
      </w:r>
    </w:p>
    <w:p w14:paraId="40DF53D3" w14:textId="2CE5CE4A" w:rsidR="16152FE6" w:rsidRDefault="6789A223" w:rsidP="6789A223">
      <w:pPr>
        <w:rPr>
          <w:rFonts w:ascii="Cambria" w:eastAsia="Cambria" w:hAnsi="Cambria" w:cs="Cambria"/>
          <w:sz w:val="16"/>
          <w:szCs w:val="16"/>
        </w:rPr>
      </w:pPr>
      <w:r w:rsidRPr="6789A223">
        <w:rPr>
          <w:rFonts w:ascii="Cambria" w:eastAsia="Cambria" w:hAnsi="Cambria" w:cs="Cambria"/>
          <w:sz w:val="16"/>
          <w:szCs w:val="16"/>
        </w:rPr>
        <w:t xml:space="preserve">Duke Community and Family Medicine.  Population Health Graduate Education Milestones: A Report to the Centers for Disease Control and Prevention and the Association of American Medical Colleges. 2015. </w:t>
      </w:r>
      <w:hyperlink r:id="rId6">
        <w:r w:rsidRPr="6789A223">
          <w:rPr>
            <w:rStyle w:val="Hyperlink"/>
            <w:color w:val="0000FF"/>
          </w:rPr>
          <w:t>https://cfm.duke.edu/files/field/attachments/Population%20Health%20Milestones%20in%20Graduate%20Medical%20Education_web_0.pdf</w:t>
        </w:r>
      </w:hyperlink>
      <w:r w:rsidRPr="6789A223">
        <w:rPr>
          <w:color w:val="0000FF"/>
          <w:u w:val="single"/>
        </w:rPr>
        <w:t>.</w:t>
      </w:r>
    </w:p>
    <w:p w14:paraId="4E0310F2" w14:textId="0462AE5E" w:rsidR="16152FE6" w:rsidRDefault="008261E2" w:rsidP="6789A223">
      <w:pPr>
        <w:rPr>
          <w:rFonts w:ascii="Cambria" w:eastAsia="Cambria" w:hAnsi="Cambria" w:cs="Cambria"/>
          <w:sz w:val="22"/>
          <w:szCs w:val="22"/>
        </w:rPr>
      </w:pPr>
      <w:r w:rsidRPr="6789A223">
        <w:rPr>
          <w:rFonts w:ascii="Cambria" w:eastAsia="Cambria" w:hAnsi="Cambria" w:cs="Cambria"/>
          <w:sz w:val="22"/>
          <w:szCs w:val="22"/>
        </w:rPr>
        <w:t>This report</w:t>
      </w:r>
      <w:r w:rsidR="6789A223" w:rsidRPr="6789A223">
        <w:rPr>
          <w:rFonts w:ascii="Cambria" w:eastAsia="Cambria" w:hAnsi="Cambria" w:cs="Cambria"/>
          <w:sz w:val="22"/>
          <w:szCs w:val="22"/>
        </w:rPr>
        <w:t xml:space="preserve"> highlights the population health training requirements embedded in the ACGME Milestones for resident physicians, suggests educational materials and assessment tools that residency programs can use to develop resident competencies in population health and meet required milestones, </w:t>
      </w:r>
      <w:r w:rsidRPr="6789A223">
        <w:rPr>
          <w:rFonts w:ascii="Cambria" w:eastAsia="Cambria" w:hAnsi="Cambria" w:cs="Cambria"/>
          <w:sz w:val="22"/>
          <w:szCs w:val="22"/>
        </w:rPr>
        <w:t>and proposes</w:t>
      </w:r>
      <w:r w:rsidR="6789A223" w:rsidRPr="6789A223">
        <w:rPr>
          <w:rFonts w:ascii="Cambria" w:eastAsia="Cambria" w:hAnsi="Cambria" w:cs="Cambria"/>
          <w:sz w:val="22"/>
          <w:szCs w:val="22"/>
        </w:rPr>
        <w:t xml:space="preserve"> a generic set of population health milestones to inform future development of population health education and residency training. </w:t>
      </w:r>
    </w:p>
    <w:p w14:paraId="520164DF" w14:textId="77777777" w:rsidR="008261E2" w:rsidRDefault="008261E2" w:rsidP="00306191">
      <w:pPr>
        <w:rPr>
          <w:u w:val="single"/>
        </w:rPr>
      </w:pPr>
    </w:p>
    <w:p w14:paraId="1B7AA624" w14:textId="094C5FBC" w:rsidR="000B319D" w:rsidRPr="008261E2" w:rsidRDefault="008261E2" w:rsidP="00306191">
      <w:pPr>
        <w:rPr>
          <w:u w:val="single"/>
        </w:rPr>
      </w:pPr>
      <w:r w:rsidRPr="008261E2">
        <w:rPr>
          <w:u w:val="single"/>
        </w:rPr>
        <w:t xml:space="preserve">Triple Aim for Populations Course </w:t>
      </w:r>
    </w:p>
    <w:p w14:paraId="7E302400" w14:textId="796C0C26" w:rsidR="000B319D" w:rsidRDefault="000715FE" w:rsidP="00306191">
      <w:pPr>
        <w:rPr>
          <w:rFonts w:ascii="Cambria" w:eastAsia="Cambria" w:hAnsi="Cambria" w:cs="Cambria"/>
          <w:sz w:val="22"/>
          <w:szCs w:val="22"/>
        </w:rPr>
      </w:pPr>
      <w:hyperlink r:id="rId7">
        <w:r w:rsidR="6789A223" w:rsidRPr="6789A223">
          <w:rPr>
            <w:color w:val="0000FF"/>
            <w:u w:val="single"/>
          </w:rPr>
          <w:t>http://www.ihi.org/education/ihiopenschool/Pages/default.aspx</w:t>
        </w:r>
      </w:hyperlink>
    </w:p>
    <w:p w14:paraId="7B5F94E9" w14:textId="1AAB24E9" w:rsidR="000B319D" w:rsidRPr="008261E2" w:rsidRDefault="6789A223" w:rsidP="00306191">
      <w:pPr>
        <w:rPr>
          <w:rFonts w:ascii="Cambria" w:eastAsia="Cambria" w:hAnsi="Cambria" w:cs="Cambria"/>
          <w:sz w:val="22"/>
          <w:szCs w:val="22"/>
        </w:rPr>
      </w:pPr>
      <w:r w:rsidRPr="6789A223">
        <w:rPr>
          <w:rFonts w:ascii="Cambria" w:eastAsia="Cambria" w:hAnsi="Cambria" w:cs="Cambria"/>
          <w:sz w:val="22"/>
          <w:szCs w:val="22"/>
        </w:rPr>
        <w:t xml:space="preserve">This 3-part course will explore essential components of the Triple Aim for improving health and health care. </w:t>
      </w:r>
    </w:p>
    <w:p w14:paraId="430FE9DF" w14:textId="258032E8" w:rsidR="000B319D" w:rsidRDefault="6789A223" w:rsidP="00306191">
      <w:pPr>
        <w:pStyle w:val="ListParagraph"/>
        <w:numPr>
          <w:ilvl w:val="0"/>
          <w:numId w:val="1"/>
        </w:numPr>
        <w:rPr>
          <w:rFonts w:eastAsiaTheme="minorEastAsia"/>
          <w:sz w:val="22"/>
          <w:szCs w:val="22"/>
        </w:rPr>
      </w:pPr>
      <w:r w:rsidRPr="6789A223">
        <w:rPr>
          <w:rFonts w:ascii="Cambria" w:eastAsia="Cambria" w:hAnsi="Cambria" w:cs="Cambria"/>
          <w:sz w:val="22"/>
          <w:szCs w:val="22"/>
        </w:rPr>
        <w:t>TA 101: Introduction to the Triple Aim for Populations</w:t>
      </w:r>
    </w:p>
    <w:p w14:paraId="0F2B1318" w14:textId="13CF6B8E" w:rsidR="000B319D" w:rsidRDefault="6789A223" w:rsidP="00306191">
      <w:pPr>
        <w:pStyle w:val="ListParagraph"/>
        <w:numPr>
          <w:ilvl w:val="0"/>
          <w:numId w:val="1"/>
        </w:numPr>
        <w:rPr>
          <w:rFonts w:eastAsiaTheme="minorEastAsia"/>
          <w:sz w:val="22"/>
          <w:szCs w:val="22"/>
        </w:rPr>
      </w:pPr>
      <w:r w:rsidRPr="6789A223">
        <w:rPr>
          <w:rFonts w:ascii="Cambria" w:eastAsia="Cambria" w:hAnsi="Cambria" w:cs="Cambria"/>
          <w:sz w:val="22"/>
          <w:szCs w:val="22"/>
        </w:rPr>
        <w:t>TA 102: Improving Health Equity</w:t>
      </w:r>
    </w:p>
    <w:p w14:paraId="4C10F1EF" w14:textId="0AE2EDF8" w:rsidR="000B319D" w:rsidRPr="00306191" w:rsidRDefault="6789A223" w:rsidP="00306191">
      <w:pPr>
        <w:pStyle w:val="ListParagraph"/>
        <w:numPr>
          <w:ilvl w:val="0"/>
          <w:numId w:val="1"/>
        </w:numPr>
        <w:rPr>
          <w:rFonts w:eastAsiaTheme="minorEastAsia"/>
          <w:sz w:val="22"/>
          <w:szCs w:val="22"/>
        </w:rPr>
      </w:pPr>
      <w:r w:rsidRPr="6789A223">
        <w:rPr>
          <w:rFonts w:ascii="Cambria" w:eastAsia="Cambria" w:hAnsi="Cambria" w:cs="Cambria"/>
          <w:sz w:val="22"/>
          <w:szCs w:val="22"/>
        </w:rPr>
        <w:t>TA 103: Quality, Cost, and Value in Healthcare</w:t>
      </w:r>
    </w:p>
    <w:p w14:paraId="3ED00362" w14:textId="77777777" w:rsidR="00306191" w:rsidRDefault="00306191" w:rsidP="00306191">
      <w:pPr>
        <w:pStyle w:val="ListParagraph"/>
        <w:rPr>
          <w:rFonts w:eastAsiaTheme="minorEastAsia"/>
          <w:sz w:val="22"/>
          <w:szCs w:val="22"/>
        </w:rPr>
      </w:pPr>
    </w:p>
    <w:p w14:paraId="488E6BA6" w14:textId="50895F69" w:rsidR="00B43D13" w:rsidRDefault="6789A223" w:rsidP="00306191">
      <w:r w:rsidRPr="6789A223">
        <w:rPr>
          <w:u w:val="single"/>
        </w:rPr>
        <w:t>Population Health for Clinicians: A Podcast Series</w:t>
      </w:r>
    </w:p>
    <w:p w14:paraId="1312F6BF" w14:textId="77777777" w:rsidR="00D305D3" w:rsidRDefault="000715FE" w:rsidP="00306191">
      <w:hyperlink r:id="rId8">
        <w:r w:rsidR="6789A223" w:rsidRPr="6789A223">
          <w:rPr>
            <w:rStyle w:val="Hyperlink"/>
          </w:rPr>
          <w:t>https://www.nhms.org/phpapps/html/cme_PodCast_Home.php#cme5</w:t>
        </w:r>
      </w:hyperlink>
    </w:p>
    <w:p w14:paraId="2F8A44B7" w14:textId="5380F5AE" w:rsidR="6789A223" w:rsidRDefault="6789A223" w:rsidP="00306191">
      <w:r w:rsidRPr="6789A223">
        <w:rPr>
          <w:rFonts w:ascii="Cambria" w:eastAsia="Cambria" w:hAnsi="Cambria" w:cs="Cambria"/>
          <w:sz w:val="22"/>
          <w:szCs w:val="22"/>
        </w:rPr>
        <w:t>Audio podcast that presents an introduction to principles of population health delivered in 8 fifteen minute episodes. Created by New Hampshire Medical Society/University of New Hampshire Institute for Health Policy and Practice.</w:t>
      </w:r>
    </w:p>
    <w:p w14:paraId="1509AFAF" w14:textId="77777777" w:rsidR="008261E2" w:rsidRDefault="008261E2" w:rsidP="6789A223"/>
    <w:p w14:paraId="6F013D79" w14:textId="3DE1A87E" w:rsidR="6789A223" w:rsidRDefault="6789A223" w:rsidP="6789A223">
      <w:pPr>
        <w:rPr>
          <w:rFonts w:ascii="Cambria" w:eastAsia="Cambria" w:hAnsi="Cambria" w:cs="Cambria"/>
          <w:sz w:val="22"/>
          <w:szCs w:val="22"/>
        </w:rPr>
      </w:pPr>
      <w:r w:rsidRPr="6789A223">
        <w:rPr>
          <w:rFonts w:ascii="Cambria" w:eastAsia="Cambria" w:hAnsi="Cambria" w:cs="Cambria"/>
          <w:u w:val="single"/>
        </w:rPr>
        <w:t>The Clinical Prevention and Population Health Curriculum Framework</w:t>
      </w:r>
      <w:r w:rsidRPr="6789A223">
        <w:rPr>
          <w:rFonts w:ascii="Cambria" w:eastAsia="Cambria" w:hAnsi="Cambria" w:cs="Cambria"/>
        </w:rPr>
        <w:t xml:space="preserve"> </w:t>
      </w:r>
      <w:hyperlink r:id="rId9">
        <w:r w:rsidRPr="6789A223">
          <w:rPr>
            <w:rStyle w:val="Hyperlink"/>
          </w:rPr>
          <w:t>http://www.teachpopulationhealth.org</w:t>
        </w:r>
      </w:hyperlink>
    </w:p>
    <w:p w14:paraId="6A163E94" w14:textId="56EF4919" w:rsidR="6789A223" w:rsidRDefault="6789A223" w:rsidP="6789A223">
      <w:pPr>
        <w:rPr>
          <w:rFonts w:ascii="Cambria" w:eastAsia="Cambria" w:hAnsi="Cambria" w:cs="Cambria"/>
          <w:sz w:val="22"/>
          <w:szCs w:val="22"/>
        </w:rPr>
      </w:pPr>
      <w:r w:rsidRPr="6789A223">
        <w:rPr>
          <w:rFonts w:ascii="Cambria" w:eastAsia="Cambria" w:hAnsi="Cambria" w:cs="Cambria"/>
          <w:sz w:val="22"/>
          <w:szCs w:val="22"/>
        </w:rPr>
        <w:t xml:space="preserve">This framework provides a content outline, resources, and a structure for organizing and monitoring a population health curriculum. The framework is broken into 4 domains – Foundations of Population Health, Clinical Preventive Services and Health </w:t>
      </w:r>
      <w:r w:rsidR="008261E2" w:rsidRPr="6789A223">
        <w:rPr>
          <w:rFonts w:ascii="Cambria" w:eastAsia="Cambria" w:hAnsi="Cambria" w:cs="Cambria"/>
          <w:sz w:val="22"/>
          <w:szCs w:val="22"/>
        </w:rPr>
        <w:t>Promotion</w:t>
      </w:r>
      <w:r w:rsidRPr="6789A223">
        <w:rPr>
          <w:rFonts w:ascii="Cambria" w:eastAsia="Cambria" w:hAnsi="Cambria" w:cs="Cambria"/>
          <w:sz w:val="22"/>
          <w:szCs w:val="22"/>
        </w:rPr>
        <w:t xml:space="preserve">, Clinical Practice and Population Health, Health Systems and Policy. </w:t>
      </w:r>
    </w:p>
    <w:p w14:paraId="6A089059" w14:textId="1C84554E" w:rsidR="6789A223" w:rsidRDefault="6789A223" w:rsidP="6789A223">
      <w:pPr>
        <w:rPr>
          <w:rFonts w:ascii="Cambria" w:eastAsia="Cambria" w:hAnsi="Cambria" w:cs="Cambria"/>
          <w:sz w:val="22"/>
          <w:szCs w:val="22"/>
        </w:rPr>
      </w:pPr>
    </w:p>
    <w:p w14:paraId="34DA4AA6" w14:textId="2FA5921C" w:rsidR="009A6668" w:rsidRDefault="6789A223" w:rsidP="6789A223">
      <w:r w:rsidRPr="6789A223">
        <w:rPr>
          <w:u w:val="single"/>
        </w:rPr>
        <w:t>Association for Prevention Teaching and Research Population Health Modules</w:t>
      </w:r>
    </w:p>
    <w:p w14:paraId="5A5FDB24" w14:textId="77777777" w:rsidR="009A6668" w:rsidRDefault="000715FE" w:rsidP="6789A223">
      <w:hyperlink r:id="rId10">
        <w:r w:rsidR="6789A223" w:rsidRPr="6789A223">
          <w:rPr>
            <w:rStyle w:val="Hyperlink"/>
            <w:color w:val="0000FF"/>
          </w:rPr>
          <w:t>http://www.aptrweb.org/?page=pophealthmodules</w:t>
        </w:r>
      </w:hyperlink>
    </w:p>
    <w:p w14:paraId="02EB3AF3" w14:textId="19EE9787" w:rsidR="000B319D" w:rsidRDefault="6789A223" w:rsidP="6789A223">
      <w:pPr>
        <w:rPr>
          <w:rFonts w:ascii="Cambria" w:eastAsia="Cambria" w:hAnsi="Cambria" w:cs="Cambria"/>
        </w:rPr>
      </w:pPr>
      <w:r w:rsidRPr="6789A223">
        <w:rPr>
          <w:rFonts w:ascii="Cambria" w:eastAsia="Cambria" w:hAnsi="Cambria" w:cs="Cambria"/>
          <w:sz w:val="22"/>
          <w:szCs w:val="22"/>
        </w:rPr>
        <w:t>Seven teaching modules that include ready to use material aimed at improving clinical and population-based prevention skills for all health professionals.  Modules include Determinants of Health, Fundamentals of Epidemiology, Taking a Preventive History, Screening, Health Care Systems, Research to Practice, and Outbreak Investigation and Disease Control</w:t>
      </w:r>
    </w:p>
    <w:p w14:paraId="219FEE93" w14:textId="6923FA45" w:rsidR="000B319D" w:rsidRDefault="000B319D" w:rsidP="6789A223">
      <w:pPr>
        <w:rPr>
          <w:rFonts w:ascii="Cambria" w:eastAsia="Cambria" w:hAnsi="Cambria" w:cs="Cambria"/>
          <w:sz w:val="22"/>
          <w:szCs w:val="22"/>
        </w:rPr>
      </w:pPr>
    </w:p>
    <w:p w14:paraId="3E930E25" w14:textId="1E37A5D8" w:rsidR="000B319D" w:rsidRDefault="6789A223" w:rsidP="00306191">
      <w:r w:rsidRPr="6789A223">
        <w:rPr>
          <w:u w:val="single"/>
        </w:rPr>
        <w:t>Practical Playbook</w:t>
      </w:r>
    </w:p>
    <w:p w14:paraId="05E7DCAD" w14:textId="77777777" w:rsidR="000B319D" w:rsidRDefault="000715FE" w:rsidP="00306191">
      <w:hyperlink r:id="rId11">
        <w:r w:rsidR="6789A223" w:rsidRPr="6789A223">
          <w:rPr>
            <w:rStyle w:val="Hyperlink"/>
          </w:rPr>
          <w:t>https://www.practicalplaybook.org/</w:t>
        </w:r>
      </w:hyperlink>
    </w:p>
    <w:p w14:paraId="02D1B824" w14:textId="2EE70430" w:rsidR="000B319D" w:rsidRDefault="6789A223" w:rsidP="6789A223">
      <w:pPr>
        <w:spacing w:afterAutospacing="1"/>
        <w:rPr>
          <w:b/>
        </w:rPr>
      </w:pPr>
      <w:r w:rsidRPr="6789A223">
        <w:rPr>
          <w:rFonts w:ascii="Cambria" w:eastAsia="Cambria" w:hAnsi="Cambria" w:cs="Cambria"/>
          <w:sz w:val="22"/>
          <w:szCs w:val="22"/>
        </w:rPr>
        <w:t xml:space="preserve">Practical implementation tools, guidance, and resources to advance collaboration between public health, primary care, and the community to advance population health. </w:t>
      </w:r>
    </w:p>
    <w:p w14:paraId="4DA4E8F5" w14:textId="1A186897" w:rsidR="00967F05" w:rsidRDefault="008261E2">
      <w:pPr>
        <w:rPr>
          <w:b/>
        </w:rPr>
      </w:pPr>
      <w:r>
        <w:rPr>
          <w:b/>
        </w:rPr>
        <w:br w:type="page"/>
      </w:r>
      <w:r w:rsidR="009A6668">
        <w:rPr>
          <w:b/>
        </w:rPr>
        <w:lastRenderedPageBreak/>
        <w:t>Critical Thinking</w:t>
      </w:r>
    </w:p>
    <w:p w14:paraId="357118F6" w14:textId="77777777" w:rsidR="008261E2" w:rsidRPr="008261E2" w:rsidRDefault="008261E2">
      <w:pPr>
        <w:rPr>
          <w:b/>
        </w:rPr>
      </w:pPr>
    </w:p>
    <w:p w14:paraId="3F36CA90" w14:textId="77777777" w:rsidR="00CF4088" w:rsidRPr="00CF4088" w:rsidRDefault="6789A223" w:rsidP="00306191">
      <w:r w:rsidRPr="6789A223">
        <w:rPr>
          <w:u w:val="single"/>
        </w:rPr>
        <w:t>Practical Playbook: Working with data</w:t>
      </w:r>
    </w:p>
    <w:p w14:paraId="3F6004BA" w14:textId="77777777" w:rsidR="00CF4088" w:rsidRDefault="000715FE" w:rsidP="00306191">
      <w:hyperlink r:id="rId12">
        <w:r w:rsidR="6789A223" w:rsidRPr="6789A223">
          <w:rPr>
            <w:rStyle w:val="Hyperlink"/>
          </w:rPr>
          <w:t>https://www.practicalplaybook.org/section/expert-insights/working-data</w:t>
        </w:r>
      </w:hyperlink>
    </w:p>
    <w:p w14:paraId="13220680" w14:textId="77777777" w:rsidR="00CF4088" w:rsidRDefault="000715FE" w:rsidP="00306191">
      <w:pPr>
        <w:rPr>
          <w:b/>
          <w:bCs/>
        </w:rPr>
      </w:pPr>
      <w:hyperlink r:id="rId13">
        <w:r w:rsidR="6789A223" w:rsidRPr="6789A223">
          <w:rPr>
            <w:rStyle w:val="Hyperlink"/>
          </w:rPr>
          <w:t>https://www.practicalplaybook.org/resources/filter?primary=36</w:t>
        </w:r>
      </w:hyperlink>
    </w:p>
    <w:p w14:paraId="5440F45D" w14:textId="703F7626" w:rsidR="6789A223" w:rsidRDefault="6789A223" w:rsidP="00306191">
      <w:r w:rsidRPr="6789A223">
        <w:rPr>
          <w:rFonts w:ascii="Cambria" w:eastAsia="Cambria" w:hAnsi="Cambria" w:cs="Cambria"/>
          <w:color w:val="222222"/>
          <w:sz w:val="21"/>
          <w:szCs w:val="21"/>
        </w:rPr>
        <w:t>Multiple resources that explore the critical role of data in population health</w:t>
      </w:r>
    </w:p>
    <w:p w14:paraId="765CDDF2" w14:textId="77777777" w:rsidR="008261E2" w:rsidRDefault="008261E2" w:rsidP="00306191">
      <w:pPr>
        <w:rPr>
          <w:rFonts w:ascii="Cambria" w:eastAsia="Cambria" w:hAnsi="Cambria" w:cs="Cambria"/>
          <w:sz w:val="22"/>
          <w:szCs w:val="22"/>
        </w:rPr>
      </w:pPr>
    </w:p>
    <w:p w14:paraId="0FD737DF" w14:textId="26326517" w:rsidR="00CF4088" w:rsidRPr="00CF4088" w:rsidRDefault="6789A223" w:rsidP="00306191">
      <w:r w:rsidRPr="6789A223">
        <w:rPr>
          <w:u w:val="single"/>
        </w:rPr>
        <w:t>United States Census Bureau – Health topics</w:t>
      </w:r>
    </w:p>
    <w:p w14:paraId="30D3A4C4" w14:textId="77777777" w:rsidR="00CF4088" w:rsidRDefault="000715FE" w:rsidP="00306191">
      <w:hyperlink r:id="rId14">
        <w:r w:rsidR="6789A223" w:rsidRPr="6789A223">
          <w:rPr>
            <w:rStyle w:val="Hyperlink"/>
          </w:rPr>
          <w:t>https://www.census.gov/topics/health/video.html</w:t>
        </w:r>
      </w:hyperlink>
    </w:p>
    <w:p w14:paraId="3BF4F6DD" w14:textId="7B30933C" w:rsidR="6789A223" w:rsidRDefault="6789A223" w:rsidP="00306191">
      <w:pPr>
        <w:rPr>
          <w:rFonts w:ascii="Cambria" w:eastAsia="Cambria" w:hAnsi="Cambria" w:cs="Cambria"/>
          <w:color w:val="222222"/>
          <w:sz w:val="21"/>
          <w:szCs w:val="21"/>
        </w:rPr>
      </w:pPr>
      <w:r w:rsidRPr="6789A223">
        <w:rPr>
          <w:rFonts w:ascii="Cambria" w:eastAsia="Cambria" w:hAnsi="Cambria" w:cs="Cambria"/>
          <w:color w:val="222222"/>
          <w:sz w:val="21"/>
          <w:szCs w:val="21"/>
        </w:rPr>
        <w:t>The Census Bureau provides accurate, det</w:t>
      </w:r>
      <w:r w:rsidR="008261E2">
        <w:rPr>
          <w:rFonts w:ascii="Cambria" w:eastAsia="Cambria" w:hAnsi="Cambria" w:cs="Cambria"/>
          <w:color w:val="222222"/>
          <w:sz w:val="21"/>
          <w:szCs w:val="21"/>
        </w:rPr>
        <w:t xml:space="preserve">ailed and up-to-date statistics </w:t>
      </w:r>
      <w:r w:rsidRPr="6789A223">
        <w:rPr>
          <w:rFonts w:ascii="Cambria" w:eastAsia="Cambria" w:hAnsi="Cambria" w:cs="Cambria"/>
          <w:color w:val="222222"/>
          <w:sz w:val="21"/>
          <w:szCs w:val="21"/>
        </w:rPr>
        <w:t>relating to health in America. This website features great videos and visualization that make data easier to work with.</w:t>
      </w:r>
    </w:p>
    <w:p w14:paraId="6F2F16EA" w14:textId="77777777" w:rsidR="00306191" w:rsidRDefault="00306191" w:rsidP="00306191"/>
    <w:p w14:paraId="6983CB49" w14:textId="63BB8EC3" w:rsidR="00CF4088" w:rsidRDefault="6789A223" w:rsidP="00306191">
      <w:r w:rsidRPr="6789A223">
        <w:rPr>
          <w:u w:val="single"/>
        </w:rPr>
        <w:t>CDC National Center for Health Statistics (NCHS)</w:t>
      </w:r>
    </w:p>
    <w:p w14:paraId="6A61FFE7" w14:textId="77777777" w:rsidR="00CF4088" w:rsidRDefault="000715FE" w:rsidP="00306191">
      <w:hyperlink r:id="rId15">
        <w:r w:rsidR="6789A223" w:rsidRPr="6789A223">
          <w:rPr>
            <w:rStyle w:val="Hyperlink"/>
          </w:rPr>
          <w:t>https://www.cdc.gov/nchs/</w:t>
        </w:r>
      </w:hyperlink>
    </w:p>
    <w:p w14:paraId="731EE4BB" w14:textId="7C8EF73B" w:rsidR="00CF4088" w:rsidRDefault="6789A223" w:rsidP="00306191">
      <w:pPr>
        <w:rPr>
          <w:rFonts w:ascii="Cambria" w:eastAsia="Cambria" w:hAnsi="Cambria" w:cs="Cambria"/>
          <w:color w:val="222222"/>
          <w:sz w:val="21"/>
          <w:szCs w:val="21"/>
        </w:rPr>
      </w:pPr>
      <w:r w:rsidRPr="6789A223">
        <w:rPr>
          <w:rFonts w:ascii="Cambria" w:eastAsia="Cambria" w:hAnsi="Cambria" w:cs="Cambria"/>
          <w:color w:val="222222"/>
          <w:sz w:val="21"/>
          <w:szCs w:val="21"/>
        </w:rPr>
        <w:t xml:space="preserve">The (NCHS) is a principal agency of the </w:t>
      </w:r>
      <w:hyperlink r:id="rId16">
        <w:r w:rsidRPr="6789A223">
          <w:rPr>
            <w:rFonts w:ascii="Cambria" w:eastAsia="Cambria" w:hAnsi="Cambria" w:cs="Cambria"/>
            <w:color w:val="222222"/>
            <w:sz w:val="21"/>
            <w:szCs w:val="21"/>
          </w:rPr>
          <w:t>U.S. Federal Statistical System</w:t>
        </w:r>
      </w:hyperlink>
      <w:r w:rsidRPr="6789A223">
        <w:rPr>
          <w:rFonts w:ascii="Cambria" w:eastAsia="Cambria" w:hAnsi="Cambria" w:cs="Cambria"/>
          <w:color w:val="222222"/>
          <w:sz w:val="21"/>
          <w:szCs w:val="21"/>
        </w:rPr>
        <w:t xml:space="preserve">, housed within the CDC,  which provides statistical information to guide actions and policies to improve the </w:t>
      </w:r>
      <w:hyperlink r:id="rId17">
        <w:r w:rsidRPr="6789A223">
          <w:rPr>
            <w:rFonts w:ascii="Cambria" w:eastAsia="Cambria" w:hAnsi="Cambria" w:cs="Cambria"/>
            <w:color w:val="222222"/>
            <w:sz w:val="21"/>
            <w:szCs w:val="21"/>
          </w:rPr>
          <w:t>health</w:t>
        </w:r>
      </w:hyperlink>
      <w:r w:rsidRPr="6789A223">
        <w:rPr>
          <w:rFonts w:ascii="Cambria" w:eastAsia="Cambria" w:hAnsi="Cambria" w:cs="Cambria"/>
          <w:color w:val="222222"/>
          <w:sz w:val="21"/>
          <w:szCs w:val="21"/>
        </w:rPr>
        <w:t xml:space="preserve"> of the </w:t>
      </w:r>
      <w:hyperlink r:id="rId18">
        <w:r w:rsidRPr="6789A223">
          <w:rPr>
            <w:rFonts w:ascii="Cambria" w:eastAsia="Cambria" w:hAnsi="Cambria" w:cs="Cambria"/>
            <w:color w:val="222222"/>
            <w:sz w:val="21"/>
            <w:szCs w:val="21"/>
          </w:rPr>
          <w:t>American</w:t>
        </w:r>
      </w:hyperlink>
      <w:r w:rsidRPr="6789A223">
        <w:rPr>
          <w:rFonts w:ascii="Cambria" w:eastAsia="Cambria" w:hAnsi="Cambria" w:cs="Cambria"/>
          <w:color w:val="222222"/>
          <w:sz w:val="21"/>
          <w:szCs w:val="21"/>
        </w:rPr>
        <w:t xml:space="preserve"> people. </w:t>
      </w:r>
    </w:p>
    <w:p w14:paraId="13AF85C0" w14:textId="4FAADF34" w:rsidR="00306191" w:rsidRDefault="00306191" w:rsidP="00306191">
      <w:pPr>
        <w:rPr>
          <w:rFonts w:ascii="Cambria" w:eastAsia="Cambria" w:hAnsi="Cambria" w:cs="Cambria"/>
          <w:color w:val="222222"/>
          <w:sz w:val="21"/>
          <w:szCs w:val="21"/>
        </w:rPr>
      </w:pPr>
    </w:p>
    <w:p w14:paraId="355560FF" w14:textId="2D60C6CD" w:rsidR="002C192C" w:rsidRPr="00CF4088" w:rsidRDefault="6789A223" w:rsidP="6789A223">
      <w:pPr>
        <w:rPr>
          <w:u w:val="single"/>
        </w:rPr>
      </w:pPr>
      <w:r w:rsidRPr="6789A223">
        <w:rPr>
          <w:u w:val="single"/>
        </w:rPr>
        <w:t>UDS mapper</w:t>
      </w:r>
    </w:p>
    <w:p w14:paraId="226D3E91" w14:textId="4A7F98DA" w:rsidR="6789A223" w:rsidRDefault="000715FE" w:rsidP="6789A223">
      <w:pPr>
        <w:rPr>
          <w:b/>
          <w:bCs/>
        </w:rPr>
      </w:pPr>
      <w:hyperlink r:id="rId19">
        <w:r w:rsidR="6789A223" w:rsidRPr="6789A223">
          <w:rPr>
            <w:rStyle w:val="Hyperlink"/>
          </w:rPr>
          <w:t>http://www.udsmapper.org/</w:t>
        </w:r>
      </w:hyperlink>
    </w:p>
    <w:p w14:paraId="53E4DC1D" w14:textId="3ABB73F3" w:rsidR="6789A223" w:rsidRDefault="6789A223" w:rsidP="6789A223">
      <w:pPr>
        <w:rPr>
          <w:rFonts w:ascii="Cambria" w:eastAsia="Cambria" w:hAnsi="Cambria" w:cs="Cambria"/>
          <w:sz w:val="22"/>
          <w:szCs w:val="22"/>
        </w:rPr>
      </w:pPr>
      <w:r w:rsidRPr="6789A223">
        <w:rPr>
          <w:rFonts w:ascii="Cambria" w:eastAsia="Cambria" w:hAnsi="Cambria" w:cs="Cambria"/>
          <w:sz w:val="22"/>
          <w:szCs w:val="22"/>
        </w:rPr>
        <w:t>An online mapping and decision-support tool that allows for visualization of areas served by Health Center Program (Section 330) grantees and look-alikes (collectively referred to as “health centers”). The UDS mapper can be used to compare health center data to community/population data and shows spatial relationships between the program, community attributes and other resources. It also displays other relevant data on health, economic, and social factors, providing additional information and context for the displayed UDS data.</w:t>
      </w:r>
    </w:p>
    <w:p w14:paraId="71FFB112" w14:textId="3022BA75" w:rsidR="6789A223" w:rsidRDefault="6789A223" w:rsidP="6789A223">
      <w:pPr>
        <w:rPr>
          <w:rFonts w:ascii="Cambria" w:eastAsia="Cambria" w:hAnsi="Cambria" w:cs="Cambria"/>
          <w:sz w:val="22"/>
          <w:szCs w:val="22"/>
        </w:rPr>
      </w:pPr>
    </w:p>
    <w:p w14:paraId="08B91675" w14:textId="0AD41E8C" w:rsidR="6789A223" w:rsidRDefault="6789A223" w:rsidP="00306191">
      <w:pPr>
        <w:rPr>
          <w:rFonts w:ascii="Cambria" w:eastAsia="Cambria" w:hAnsi="Cambria" w:cs="Cambria"/>
          <w:sz w:val="22"/>
          <w:szCs w:val="22"/>
        </w:rPr>
      </w:pPr>
      <w:r w:rsidRPr="6789A223">
        <w:rPr>
          <w:u w:val="single"/>
        </w:rPr>
        <w:t>DATA2020</w:t>
      </w:r>
    </w:p>
    <w:p w14:paraId="13B2C8F6" w14:textId="2833EF2B" w:rsidR="6789A223" w:rsidRDefault="000715FE" w:rsidP="00306191">
      <w:hyperlink r:id="rId20">
        <w:r w:rsidR="6789A223" w:rsidRPr="6789A223">
          <w:rPr>
            <w:rStyle w:val="Hyperlink"/>
            <w:rFonts w:ascii="Cambria" w:eastAsia="Cambria" w:hAnsi="Cambria" w:cs="Cambria"/>
          </w:rPr>
          <w:t>https://www.healthypeople.gov/2020/How-to-Use-DATA2020</w:t>
        </w:r>
      </w:hyperlink>
    </w:p>
    <w:p w14:paraId="7A09D7F0" w14:textId="450D12C4" w:rsidR="6789A223" w:rsidRDefault="6789A223" w:rsidP="00306191">
      <w:pPr>
        <w:rPr>
          <w:rFonts w:ascii="Cambria" w:eastAsia="Cambria" w:hAnsi="Cambria" w:cs="Cambria"/>
          <w:sz w:val="22"/>
          <w:szCs w:val="22"/>
        </w:rPr>
      </w:pPr>
      <w:r w:rsidRPr="6789A223">
        <w:rPr>
          <w:rFonts w:ascii="Cambria" w:eastAsia="Cambria" w:hAnsi="Cambria" w:cs="Cambria"/>
          <w:sz w:val="22"/>
          <w:szCs w:val="22"/>
        </w:rPr>
        <w:t xml:space="preserve">The Healthy People 2020 interactive data tool that allows users to explore data and technical information related to the Healthy People 2020 objectives </w:t>
      </w:r>
    </w:p>
    <w:p w14:paraId="0BB2304F" w14:textId="767694BE" w:rsidR="6789A223" w:rsidRDefault="6789A223" w:rsidP="6789A223"/>
    <w:p w14:paraId="3DA5BB8A" w14:textId="77777777" w:rsidR="008261E2" w:rsidRDefault="008261E2">
      <w:pPr>
        <w:rPr>
          <w:b/>
        </w:rPr>
      </w:pPr>
    </w:p>
    <w:p w14:paraId="3798EF88" w14:textId="77777777" w:rsidR="008261E2" w:rsidRDefault="008261E2">
      <w:pPr>
        <w:rPr>
          <w:b/>
        </w:rPr>
      </w:pPr>
      <w:r>
        <w:rPr>
          <w:b/>
        </w:rPr>
        <w:br w:type="page"/>
      </w:r>
    </w:p>
    <w:p w14:paraId="4888475F" w14:textId="012A1824" w:rsidR="00AA796C" w:rsidRDefault="00AA796C">
      <w:pPr>
        <w:rPr>
          <w:b/>
        </w:rPr>
      </w:pPr>
      <w:r w:rsidRPr="000B319D">
        <w:rPr>
          <w:b/>
        </w:rPr>
        <w:lastRenderedPageBreak/>
        <w:t xml:space="preserve">Public Health </w:t>
      </w:r>
    </w:p>
    <w:p w14:paraId="46ECC77D" w14:textId="77777777" w:rsidR="008261E2" w:rsidRPr="000B319D" w:rsidRDefault="008261E2">
      <w:pPr>
        <w:rPr>
          <w:b/>
        </w:rPr>
      </w:pPr>
    </w:p>
    <w:p w14:paraId="58254BD9" w14:textId="77777777" w:rsidR="00D305D3" w:rsidRDefault="6789A223" w:rsidP="00306191">
      <w:r w:rsidRPr="6789A223">
        <w:rPr>
          <w:u w:val="single"/>
        </w:rPr>
        <w:t>University of Washington Northwest Center for Public Health</w:t>
      </w:r>
    </w:p>
    <w:p w14:paraId="6E9DCB0F" w14:textId="77777777" w:rsidR="00AA796C" w:rsidRDefault="000715FE" w:rsidP="00306191">
      <w:pPr>
        <w:rPr>
          <w:rStyle w:val="Hyperlink"/>
        </w:rPr>
      </w:pPr>
      <w:hyperlink r:id="rId21">
        <w:r w:rsidR="6789A223" w:rsidRPr="6789A223">
          <w:rPr>
            <w:rStyle w:val="Hyperlink"/>
          </w:rPr>
          <w:t>https://www.nwcphp.org/training</w:t>
        </w:r>
      </w:hyperlink>
    </w:p>
    <w:p w14:paraId="61AC7AB8" w14:textId="1D332553" w:rsidR="00D305D3" w:rsidRDefault="6789A223" w:rsidP="00306191">
      <w:pPr>
        <w:rPr>
          <w:rFonts w:ascii="Cambria" w:eastAsia="Cambria" w:hAnsi="Cambria" w:cs="Cambria"/>
          <w:sz w:val="22"/>
          <w:szCs w:val="22"/>
        </w:rPr>
      </w:pPr>
      <w:r w:rsidRPr="6789A223">
        <w:rPr>
          <w:rFonts w:ascii="Cambria" w:eastAsia="Cambria" w:hAnsi="Cambria" w:cs="Cambria"/>
          <w:sz w:val="22"/>
          <w:szCs w:val="22"/>
        </w:rPr>
        <w:t>Offers free online courses and webinars on a wide variety of public health topics. 2 courses used in the OHSU population health course are listed below:</w:t>
      </w:r>
    </w:p>
    <w:p w14:paraId="745EA098" w14:textId="56F4FAA4" w:rsidR="00D305D3" w:rsidRDefault="6789A223" w:rsidP="00306191">
      <w:pPr>
        <w:pStyle w:val="ListParagraph"/>
        <w:numPr>
          <w:ilvl w:val="0"/>
          <w:numId w:val="5"/>
        </w:numPr>
        <w:rPr>
          <w:rFonts w:eastAsiaTheme="minorEastAsia"/>
          <w:sz w:val="22"/>
          <w:szCs w:val="22"/>
        </w:rPr>
      </w:pPr>
      <w:r w:rsidRPr="6789A223">
        <w:rPr>
          <w:rFonts w:ascii="Cambria" w:eastAsia="Cambria" w:hAnsi="Cambria" w:cs="Cambria"/>
          <w:sz w:val="22"/>
          <w:szCs w:val="22"/>
        </w:rPr>
        <w:t xml:space="preserve">Integrating Public Health and Primary Care – 60 min </w:t>
      </w:r>
    </w:p>
    <w:p w14:paraId="7AA24CF2" w14:textId="053BA446" w:rsidR="00D305D3" w:rsidRPr="00F379C3" w:rsidRDefault="6789A223" w:rsidP="00306191">
      <w:pPr>
        <w:pStyle w:val="ListParagraph"/>
        <w:numPr>
          <w:ilvl w:val="0"/>
          <w:numId w:val="5"/>
        </w:numPr>
      </w:pPr>
      <w:r w:rsidRPr="6789A223">
        <w:rPr>
          <w:rFonts w:ascii="Cambria" w:eastAsia="Cambria" w:hAnsi="Cambria" w:cs="Cambria"/>
          <w:sz w:val="22"/>
          <w:szCs w:val="22"/>
        </w:rPr>
        <w:t xml:space="preserve">Life Course Nutrition: Maternal and Child Health Strategies in Public Health (75 min) </w:t>
      </w:r>
      <w:r w:rsidR="008261E2" w:rsidRPr="6789A223">
        <w:rPr>
          <w:rFonts w:ascii="Cambria" w:eastAsia="Cambria" w:hAnsi="Cambria" w:cs="Cambria"/>
          <w:sz w:val="22"/>
          <w:szCs w:val="22"/>
        </w:rPr>
        <w:t>(addresses</w:t>
      </w:r>
      <w:r w:rsidRPr="6789A223">
        <w:rPr>
          <w:rFonts w:ascii="Cambria" w:eastAsia="Cambria" w:hAnsi="Cambria" w:cs="Cambria"/>
          <w:sz w:val="22"/>
          <w:szCs w:val="22"/>
        </w:rPr>
        <w:t xml:space="preserve"> essential functions of public </w:t>
      </w:r>
      <w:r w:rsidR="008261E2" w:rsidRPr="6789A223">
        <w:rPr>
          <w:rFonts w:ascii="Cambria" w:eastAsia="Cambria" w:hAnsi="Cambria" w:cs="Cambria"/>
          <w:sz w:val="22"/>
          <w:szCs w:val="22"/>
        </w:rPr>
        <w:t>health, health</w:t>
      </w:r>
      <w:r w:rsidRPr="6789A223">
        <w:rPr>
          <w:rFonts w:ascii="Cambria" w:eastAsia="Cambria" w:hAnsi="Cambria" w:cs="Cambria"/>
          <w:sz w:val="22"/>
          <w:szCs w:val="22"/>
        </w:rPr>
        <w:t xml:space="preserve"> equity, and a population approach)</w:t>
      </w:r>
    </w:p>
    <w:p w14:paraId="52AB7389" w14:textId="54A00BAC" w:rsidR="6789A223" w:rsidRDefault="6789A223" w:rsidP="6789A223">
      <w:pPr>
        <w:ind w:left="360"/>
        <w:rPr>
          <w:rFonts w:ascii="Cambria" w:eastAsia="Cambria" w:hAnsi="Cambria" w:cs="Cambria"/>
          <w:sz w:val="22"/>
          <w:szCs w:val="22"/>
        </w:rPr>
      </w:pPr>
    </w:p>
    <w:p w14:paraId="64EAB2CA" w14:textId="39E25879" w:rsidR="00F379C3" w:rsidRDefault="6789A223" w:rsidP="00306191">
      <w:r w:rsidRPr="6789A223">
        <w:rPr>
          <w:u w:val="single"/>
        </w:rPr>
        <w:t>Public Health 101 Series</w:t>
      </w:r>
    </w:p>
    <w:p w14:paraId="0AEAD6AF" w14:textId="2F94A855" w:rsidR="00F379C3" w:rsidRDefault="000715FE" w:rsidP="00306191">
      <w:hyperlink r:id="rId22">
        <w:r w:rsidR="6789A223" w:rsidRPr="6789A223">
          <w:rPr>
            <w:rStyle w:val="Hyperlink"/>
            <w:rFonts w:ascii="Cambria" w:eastAsia="Cambria" w:hAnsi="Cambria" w:cs="Cambria"/>
          </w:rPr>
          <w:t>https://www.cdc.gov/publichealth101/index.html</w:t>
        </w:r>
      </w:hyperlink>
    </w:p>
    <w:p w14:paraId="775EE025" w14:textId="63A989B1" w:rsidR="00F379C3" w:rsidRDefault="6789A223" w:rsidP="00306191">
      <w:pPr>
        <w:rPr>
          <w:rFonts w:ascii="Cambria" w:eastAsia="Cambria" w:hAnsi="Cambria" w:cs="Cambria"/>
          <w:sz w:val="22"/>
          <w:szCs w:val="22"/>
        </w:rPr>
      </w:pPr>
      <w:r w:rsidRPr="6789A223">
        <w:rPr>
          <w:rFonts w:ascii="Cambria" w:eastAsia="Cambria" w:hAnsi="Cambria" w:cs="Cambria"/>
          <w:sz w:val="22"/>
          <w:szCs w:val="22"/>
        </w:rPr>
        <w:t xml:space="preserve">The Public Health 101 Series is a set of courses that </w:t>
      </w:r>
      <w:r w:rsidR="008261E2" w:rsidRPr="6789A223">
        <w:rPr>
          <w:rFonts w:ascii="Cambria" w:eastAsia="Cambria" w:hAnsi="Cambria" w:cs="Cambria"/>
          <w:sz w:val="22"/>
          <w:szCs w:val="22"/>
        </w:rPr>
        <w:t>introduces</w:t>
      </w:r>
      <w:r w:rsidRPr="6789A223">
        <w:rPr>
          <w:rFonts w:ascii="Cambria" w:eastAsia="Cambria" w:hAnsi="Cambria" w:cs="Cambria"/>
          <w:sz w:val="22"/>
          <w:szCs w:val="22"/>
        </w:rPr>
        <w:t xml:space="preserve"> public health and covers the sciences essential to public health practice including epidemiology, public health informatics and surveillance, health economics, public health laboratory science, and related fields. Includes slide sets, e learning, and webinar formats.</w:t>
      </w:r>
    </w:p>
    <w:p w14:paraId="040E5E2C" w14:textId="44CEA8D9" w:rsidR="00F379C3" w:rsidRDefault="00F379C3" w:rsidP="00306191">
      <w:r>
        <w:br/>
      </w:r>
      <w:r w:rsidR="6789A223" w:rsidRPr="6789A223">
        <w:rPr>
          <w:u w:val="single"/>
        </w:rPr>
        <w:t>Introduction to Public Health in North Carolina</w:t>
      </w:r>
    </w:p>
    <w:p w14:paraId="63B490C3" w14:textId="77777777" w:rsidR="00F379C3" w:rsidRDefault="6789A223" w:rsidP="00306191">
      <w:r>
        <w:t>The North Carolina Institute for Public Health</w:t>
      </w:r>
    </w:p>
    <w:p w14:paraId="04B66ED2" w14:textId="77777777" w:rsidR="00F379C3" w:rsidRPr="00F379C3" w:rsidRDefault="000715FE" w:rsidP="00306191">
      <w:pPr>
        <w:rPr>
          <w:rStyle w:val="Hyperlink"/>
        </w:rPr>
      </w:pPr>
      <w:hyperlink r:id="rId23">
        <w:r w:rsidR="6789A223" w:rsidRPr="6789A223">
          <w:rPr>
            <w:rStyle w:val="Hyperlink"/>
          </w:rPr>
          <w:t>https://nciph.sph.unc.edu/tws/training_list/?mode=view_series&amp;subcat_id=541&amp;subcat_title=Introduction+to+Public+Health+in+North+Carolina</w:t>
        </w:r>
      </w:hyperlink>
    </w:p>
    <w:p w14:paraId="2EB1405E" w14:textId="3B5C2EB5" w:rsidR="00F379C3" w:rsidRPr="009A6668" w:rsidRDefault="6789A223" w:rsidP="00306191">
      <w:pPr>
        <w:rPr>
          <w:b/>
          <w:bCs/>
        </w:rPr>
      </w:pPr>
      <w:r w:rsidRPr="6789A223">
        <w:rPr>
          <w:rFonts w:ascii="Cambria" w:eastAsia="Cambria" w:hAnsi="Cambria" w:cs="Cambria"/>
          <w:sz w:val="22"/>
          <w:szCs w:val="22"/>
        </w:rPr>
        <w:t xml:space="preserve">Series of six online modules that serve as an introduction to Public Health with </w:t>
      </w:r>
      <w:r w:rsidR="008261E2" w:rsidRPr="6789A223">
        <w:rPr>
          <w:rFonts w:ascii="Cambria" w:eastAsia="Cambria" w:hAnsi="Cambria" w:cs="Cambria"/>
          <w:sz w:val="22"/>
          <w:szCs w:val="22"/>
        </w:rPr>
        <w:t>pre-and</w:t>
      </w:r>
      <w:r w:rsidR="00F42C9F">
        <w:rPr>
          <w:rFonts w:ascii="Cambria" w:eastAsia="Cambria" w:hAnsi="Cambria" w:cs="Cambria"/>
          <w:sz w:val="22"/>
          <w:szCs w:val="22"/>
        </w:rPr>
        <w:t xml:space="preserve"> post-</w:t>
      </w:r>
      <w:r w:rsidRPr="6789A223">
        <w:rPr>
          <w:rFonts w:ascii="Cambria" w:eastAsia="Cambria" w:hAnsi="Cambria" w:cs="Cambria"/>
          <w:sz w:val="22"/>
          <w:szCs w:val="22"/>
        </w:rPr>
        <w:t xml:space="preserve">tests. This website also features other </w:t>
      </w:r>
      <w:r w:rsidR="008261E2" w:rsidRPr="6789A223">
        <w:rPr>
          <w:rFonts w:ascii="Cambria" w:eastAsia="Cambria" w:hAnsi="Cambria" w:cs="Cambria"/>
          <w:sz w:val="22"/>
          <w:szCs w:val="22"/>
        </w:rPr>
        <w:t>in-depth</w:t>
      </w:r>
      <w:r w:rsidRPr="6789A223">
        <w:rPr>
          <w:rFonts w:ascii="Cambria" w:eastAsia="Cambria" w:hAnsi="Cambria" w:cs="Cambria"/>
          <w:sz w:val="22"/>
          <w:szCs w:val="22"/>
        </w:rPr>
        <w:t xml:space="preserve"> trainings in epidemiology, preparedness, and outbreak investigation.</w:t>
      </w:r>
    </w:p>
    <w:p w14:paraId="4FC37A56" w14:textId="77777777" w:rsidR="00306191" w:rsidRDefault="00306191" w:rsidP="6789A223"/>
    <w:p w14:paraId="3FDBF9A7" w14:textId="77777777" w:rsidR="00306191" w:rsidRDefault="00306191" w:rsidP="6789A223">
      <w:pPr>
        <w:rPr>
          <w:b/>
          <w:bCs/>
        </w:rPr>
      </w:pPr>
    </w:p>
    <w:p w14:paraId="1C672110" w14:textId="77777777" w:rsidR="008261E2" w:rsidRDefault="008261E2">
      <w:pPr>
        <w:rPr>
          <w:b/>
          <w:bCs/>
        </w:rPr>
      </w:pPr>
      <w:r>
        <w:rPr>
          <w:b/>
          <w:bCs/>
        </w:rPr>
        <w:br w:type="page"/>
      </w:r>
    </w:p>
    <w:p w14:paraId="150D5B47" w14:textId="3B6C220D" w:rsidR="00F379C3" w:rsidRDefault="6789A223" w:rsidP="6789A223">
      <w:pPr>
        <w:rPr>
          <w:b/>
          <w:bCs/>
        </w:rPr>
      </w:pPr>
      <w:r w:rsidRPr="6789A223">
        <w:rPr>
          <w:b/>
          <w:bCs/>
        </w:rPr>
        <w:lastRenderedPageBreak/>
        <w:t>Community Engagement</w:t>
      </w:r>
    </w:p>
    <w:p w14:paraId="3E633240" w14:textId="77777777" w:rsidR="008261E2" w:rsidRPr="00306191" w:rsidRDefault="008261E2" w:rsidP="6789A223"/>
    <w:p w14:paraId="2F23FCE4" w14:textId="77777777" w:rsidR="00AA796C" w:rsidRDefault="6789A223" w:rsidP="00306191">
      <w:r w:rsidRPr="6789A223">
        <w:rPr>
          <w:u w:val="single"/>
        </w:rPr>
        <w:t>Equity and Empowerment lens</w:t>
      </w:r>
    </w:p>
    <w:p w14:paraId="73C75EEA" w14:textId="77777777" w:rsidR="00AA796C" w:rsidRDefault="000715FE" w:rsidP="00306191">
      <w:hyperlink r:id="rId24">
        <w:r w:rsidR="6789A223" w:rsidRPr="6789A223">
          <w:rPr>
            <w:rStyle w:val="Hyperlink"/>
          </w:rPr>
          <w:t>https://multco.us/diversity-equity/equity-and-empowerment-lens</w:t>
        </w:r>
      </w:hyperlink>
    </w:p>
    <w:p w14:paraId="39A2D5BF" w14:textId="3CD4CFE8" w:rsidR="00D32384" w:rsidRDefault="6789A223" w:rsidP="00306191">
      <w:pPr>
        <w:rPr>
          <w:rFonts w:ascii="Cambria" w:eastAsia="Cambria" w:hAnsi="Cambria" w:cs="Cambria"/>
          <w:sz w:val="22"/>
          <w:szCs w:val="22"/>
        </w:rPr>
      </w:pPr>
      <w:r w:rsidRPr="6789A223">
        <w:rPr>
          <w:rFonts w:ascii="Cambria" w:eastAsia="Cambria" w:hAnsi="Cambria" w:cs="Cambria"/>
          <w:sz w:val="22"/>
          <w:szCs w:val="22"/>
        </w:rPr>
        <w:t>The Equity and Empowerment Lens (with a racial justice focus) is a transformative quality improvement tool used to improve planning, decision-making, and resource allocation leading to more racially equitable policies and programs. Awesome tool to incorporate into QI curriculum!</w:t>
      </w:r>
    </w:p>
    <w:p w14:paraId="4B38D0D2" w14:textId="77777777" w:rsidR="00306191" w:rsidRDefault="00306191" w:rsidP="00306191"/>
    <w:p w14:paraId="170A70FC" w14:textId="3C5D5C7E" w:rsidR="00D32384" w:rsidRDefault="6789A223" w:rsidP="00306191">
      <w:r w:rsidRPr="6789A223">
        <w:rPr>
          <w:u w:val="single"/>
        </w:rPr>
        <w:t>Childhood Food Insecurity: Health Impacts, Screening &amp; Intervention</w:t>
      </w:r>
      <w:r>
        <w:t xml:space="preserve">  </w:t>
      </w:r>
      <w:hyperlink r:id="rId25">
        <w:r w:rsidRPr="6789A223">
          <w:rPr>
            <w:rStyle w:val="Hyperlink"/>
          </w:rPr>
          <w:t>http://www.childhoodhunger.org/</w:t>
        </w:r>
      </w:hyperlink>
    </w:p>
    <w:p w14:paraId="61D1E94D" w14:textId="665324DD" w:rsidR="00D32384" w:rsidRDefault="6789A223" w:rsidP="00306191">
      <w:pPr>
        <w:pStyle w:val="Heading3"/>
        <w:rPr>
          <w:rFonts w:ascii="Cambria" w:eastAsia="Cambria" w:hAnsi="Cambria" w:cs="Cambria"/>
          <w:color w:val="auto"/>
          <w:sz w:val="22"/>
          <w:szCs w:val="22"/>
        </w:rPr>
      </w:pPr>
      <w:r w:rsidRPr="6789A223">
        <w:rPr>
          <w:rFonts w:ascii="Cambria" w:eastAsia="Cambria" w:hAnsi="Cambria" w:cs="Cambria"/>
          <w:color w:val="auto"/>
          <w:sz w:val="22"/>
          <w:szCs w:val="22"/>
        </w:rPr>
        <w:t xml:space="preserve">Online module that helps participants identify consequences of food insecurity, use validated food insecurity screening tools, and integrate intervention </w:t>
      </w:r>
      <w:r w:rsidR="008261E2" w:rsidRPr="6789A223">
        <w:rPr>
          <w:rFonts w:ascii="Cambria" w:eastAsia="Cambria" w:hAnsi="Cambria" w:cs="Cambria"/>
          <w:color w:val="auto"/>
          <w:sz w:val="22"/>
          <w:szCs w:val="22"/>
        </w:rPr>
        <w:t>strategies</w:t>
      </w:r>
      <w:r w:rsidRPr="6789A223">
        <w:rPr>
          <w:rFonts w:ascii="Cambria" w:eastAsia="Cambria" w:hAnsi="Cambria" w:cs="Cambria"/>
          <w:color w:val="auto"/>
          <w:sz w:val="22"/>
          <w:szCs w:val="22"/>
        </w:rPr>
        <w:t xml:space="preserve"> into day to day practice. </w:t>
      </w:r>
    </w:p>
    <w:p w14:paraId="5B818461" w14:textId="7C4AB95A" w:rsidR="00615EDA" w:rsidRDefault="00615EDA" w:rsidP="00615EDA"/>
    <w:p w14:paraId="59B5A9A7" w14:textId="5DACFF31" w:rsidR="00615EDA" w:rsidRDefault="00615EDA" w:rsidP="00615EDA">
      <w:r>
        <w:t>Roots of Inequity</w:t>
      </w:r>
    </w:p>
    <w:p w14:paraId="7C209AA9" w14:textId="037E7D3C" w:rsidR="00615EDA" w:rsidRDefault="000715FE" w:rsidP="00615EDA">
      <w:hyperlink r:id="rId26" w:history="1">
        <w:r w:rsidR="00615EDA" w:rsidRPr="00C2622D">
          <w:rPr>
            <w:rStyle w:val="Hyperlink"/>
          </w:rPr>
          <w:t>http://www.rootsofhealthinequity.org/</w:t>
        </w:r>
      </w:hyperlink>
    </w:p>
    <w:p w14:paraId="402F685C" w14:textId="3ED2BA4D" w:rsidR="00615EDA" w:rsidRPr="00615EDA" w:rsidRDefault="00615EDA" w:rsidP="00615EDA">
      <w:r>
        <w:t xml:space="preserve">Online learning collaborative that explores social processes that produce health inequities and strategizes more effective ways to act on these processes. Course consists of 5 modules that uses interactive maps, slideshows, and videos. </w:t>
      </w:r>
    </w:p>
    <w:p w14:paraId="170DB143" w14:textId="6521E254" w:rsidR="6789A223" w:rsidRDefault="6789A223" w:rsidP="6789A223">
      <w:pPr>
        <w:spacing w:afterAutospacing="1"/>
      </w:pPr>
    </w:p>
    <w:p w14:paraId="6775C724" w14:textId="677F1D15" w:rsidR="6789A223" w:rsidRDefault="6789A223" w:rsidP="00306191">
      <w:r w:rsidRPr="6789A223">
        <w:rPr>
          <w:u w:val="single"/>
        </w:rPr>
        <w:t>Social Determinants of Health: A Lens for Public Health</w:t>
      </w:r>
    </w:p>
    <w:p w14:paraId="2FE930E9" w14:textId="77777777" w:rsidR="004A38DE" w:rsidRDefault="000715FE" w:rsidP="00306191">
      <w:pPr>
        <w:rPr>
          <w:rStyle w:val="Hyperlink"/>
        </w:rPr>
      </w:pPr>
      <w:hyperlink r:id="rId27">
        <w:r w:rsidR="6789A223" w:rsidRPr="6789A223">
          <w:rPr>
            <w:rStyle w:val="Hyperlink"/>
          </w:rPr>
          <w:t>http://www.aptrweb.org/?PHLM_03</w:t>
        </w:r>
      </w:hyperlink>
    </w:p>
    <w:p w14:paraId="5F5E325A" w14:textId="0467A444" w:rsidR="6789A223" w:rsidRPr="00306191" w:rsidRDefault="6789A223" w:rsidP="00306191">
      <w:pPr>
        <w:rPr>
          <w:rFonts w:ascii="Cambria" w:eastAsia="Cambria" w:hAnsi="Cambria" w:cs="Cambria"/>
          <w:sz w:val="22"/>
          <w:szCs w:val="22"/>
        </w:rPr>
      </w:pPr>
      <w:r w:rsidRPr="00306191">
        <w:rPr>
          <w:rFonts w:ascii="Cambria" w:eastAsia="Cambria" w:hAnsi="Cambria" w:cs="Cambria"/>
          <w:sz w:val="22"/>
          <w:szCs w:val="22"/>
        </w:rPr>
        <w:t>Online module with videos, slide sets, class activities, and instructor guides that explore the social determinants of health.</w:t>
      </w:r>
    </w:p>
    <w:p w14:paraId="7D9676AE" w14:textId="254D577A" w:rsidR="6789A223" w:rsidRDefault="6789A223" w:rsidP="6789A223">
      <w:pPr>
        <w:spacing w:afterAutospacing="1"/>
      </w:pPr>
    </w:p>
    <w:p w14:paraId="47EA9C28" w14:textId="73F30D82" w:rsidR="00F379C3" w:rsidRDefault="6789A223" w:rsidP="00306191">
      <w:r w:rsidRPr="6789A223">
        <w:rPr>
          <w:u w:val="single"/>
        </w:rPr>
        <w:t>Unnatural Causes</w:t>
      </w:r>
      <w:r>
        <w:t xml:space="preserve"> </w:t>
      </w:r>
    </w:p>
    <w:p w14:paraId="1B3D4D2B" w14:textId="130A0F65" w:rsidR="00F379C3" w:rsidRDefault="000715FE" w:rsidP="00306191">
      <w:hyperlink r:id="rId28">
        <w:r w:rsidR="6789A223" w:rsidRPr="6789A223">
          <w:rPr>
            <w:rStyle w:val="Hyperlink"/>
          </w:rPr>
          <w:t>www.unnaturalcauses.org</w:t>
        </w:r>
      </w:hyperlink>
    </w:p>
    <w:p w14:paraId="1220F394" w14:textId="6F72C50E" w:rsidR="009A6668" w:rsidRPr="00306191" w:rsidRDefault="00306191" w:rsidP="00306191">
      <w:pPr>
        <w:rPr>
          <w:rFonts w:ascii="Cambria" w:eastAsia="Cambria" w:hAnsi="Cambria" w:cs="Cambria"/>
          <w:sz w:val="22"/>
          <w:szCs w:val="22"/>
        </w:rPr>
      </w:pPr>
      <w:r>
        <w:rPr>
          <w:rFonts w:ascii="Cambria" w:eastAsia="Cambria" w:hAnsi="Cambria" w:cs="Cambria"/>
          <w:sz w:val="22"/>
          <w:szCs w:val="22"/>
        </w:rPr>
        <w:t>A seven-</w:t>
      </w:r>
      <w:r w:rsidR="6789A223" w:rsidRPr="00306191">
        <w:rPr>
          <w:rFonts w:ascii="Cambria" w:eastAsia="Cambria" w:hAnsi="Cambria" w:cs="Cambria"/>
          <w:sz w:val="22"/>
          <w:szCs w:val="22"/>
        </w:rPr>
        <w:t>part documentary exploring racial and socioeconomic disparities in healthcare. Online discussion guides available.</w:t>
      </w:r>
    </w:p>
    <w:p w14:paraId="418CC0F0" w14:textId="55472D7E" w:rsidR="6789A223" w:rsidRDefault="6789A223" w:rsidP="6789A223">
      <w:pPr>
        <w:spacing w:afterAutospacing="1"/>
      </w:pPr>
    </w:p>
    <w:p w14:paraId="0C432D96" w14:textId="77777777" w:rsidR="00306191" w:rsidRDefault="6789A223" w:rsidP="00306191">
      <w:r w:rsidRPr="6789A223">
        <w:rPr>
          <w:u w:val="single"/>
        </w:rPr>
        <w:t>Video Curriculum on Screening for the Social Determinants of Health</w:t>
      </w:r>
    </w:p>
    <w:p w14:paraId="4EE34053" w14:textId="08389881" w:rsidR="6789A223" w:rsidRDefault="000715FE" w:rsidP="00306191">
      <w:pPr>
        <w:rPr>
          <w:rStyle w:val="Hyperlink"/>
        </w:rPr>
      </w:pPr>
      <w:hyperlink r:id="rId29">
        <w:r w:rsidR="6789A223" w:rsidRPr="6789A223">
          <w:rPr>
            <w:rStyle w:val="Hyperlink"/>
          </w:rPr>
          <w:t>https://www.mededportal.org/publication/9575</w:t>
        </w:r>
      </w:hyperlink>
    </w:p>
    <w:p w14:paraId="7E3F4B80" w14:textId="77777777" w:rsidR="00306191" w:rsidRDefault="00306191" w:rsidP="00306191"/>
    <w:p w14:paraId="4E9342E4" w14:textId="77777777" w:rsidR="008261E2" w:rsidRDefault="008261E2" w:rsidP="00306191">
      <w:pPr>
        <w:rPr>
          <w:u w:val="single"/>
        </w:rPr>
      </w:pPr>
    </w:p>
    <w:p w14:paraId="6327EEFC" w14:textId="32930E2A" w:rsidR="6789A223" w:rsidRDefault="6789A223" w:rsidP="00306191">
      <w:pPr>
        <w:rPr>
          <w:rFonts w:ascii="Helvetica Neue" w:eastAsia="Helvetica Neue" w:hAnsi="Helvetica Neue" w:cs="Helvetica Neue"/>
        </w:rPr>
      </w:pPr>
      <w:r w:rsidRPr="6789A223">
        <w:rPr>
          <w:u w:val="single"/>
        </w:rPr>
        <w:t>Regional Equity Atlas</w:t>
      </w:r>
    </w:p>
    <w:p w14:paraId="4AA07EE7" w14:textId="77777777" w:rsidR="6789A223" w:rsidRDefault="000715FE" w:rsidP="6789A223">
      <w:hyperlink r:id="rId30">
        <w:r w:rsidR="6789A223" w:rsidRPr="6789A223">
          <w:rPr>
            <w:rStyle w:val="Hyperlink"/>
          </w:rPr>
          <w:t>http://regionalequityatlas.org/home</w:t>
        </w:r>
      </w:hyperlink>
    </w:p>
    <w:p w14:paraId="7BA89579" w14:textId="59C6F485" w:rsidR="6789A223" w:rsidRDefault="6789A223">
      <w:r w:rsidRPr="6789A223">
        <w:rPr>
          <w:rFonts w:ascii="Cambria" w:eastAsia="Cambria" w:hAnsi="Cambria" w:cs="Cambria"/>
          <w:sz w:val="22"/>
          <w:szCs w:val="22"/>
        </w:rPr>
        <w:t>The Regional Equity Atlas uses maps, policy analysis, and community based research to promote widespread opportunity for a stronger, healthier, and more sustainable region.</w:t>
      </w:r>
    </w:p>
    <w:p w14:paraId="4FF54315" w14:textId="77777777" w:rsidR="00AA796C" w:rsidRDefault="00AA796C"/>
    <w:p w14:paraId="1B516D22" w14:textId="77777777" w:rsidR="008261E2" w:rsidRDefault="008261E2">
      <w:pPr>
        <w:rPr>
          <w:b/>
        </w:rPr>
      </w:pPr>
    </w:p>
    <w:p w14:paraId="4D7EAAE1" w14:textId="77777777" w:rsidR="008261E2" w:rsidRDefault="008261E2">
      <w:pPr>
        <w:rPr>
          <w:b/>
        </w:rPr>
      </w:pPr>
      <w:r>
        <w:rPr>
          <w:b/>
        </w:rPr>
        <w:br w:type="page"/>
      </w:r>
    </w:p>
    <w:p w14:paraId="4CB75F95" w14:textId="0F6E5C1F" w:rsidR="00AA796C" w:rsidRDefault="009A6668">
      <w:pPr>
        <w:rPr>
          <w:b/>
        </w:rPr>
      </w:pPr>
      <w:r>
        <w:rPr>
          <w:b/>
        </w:rPr>
        <w:lastRenderedPageBreak/>
        <w:t>Team/Leadership skills</w:t>
      </w:r>
    </w:p>
    <w:p w14:paraId="17D0D7B2" w14:textId="77777777" w:rsidR="008261E2" w:rsidRPr="00306191" w:rsidRDefault="008261E2"/>
    <w:p w14:paraId="19CB4EE7" w14:textId="3BA6CFF9" w:rsidR="008261E2" w:rsidRPr="008261E2" w:rsidRDefault="008261E2" w:rsidP="008261E2">
      <w:pPr>
        <w:rPr>
          <w:u w:val="single"/>
        </w:rPr>
      </w:pPr>
      <w:r w:rsidRPr="008261E2">
        <w:rPr>
          <w:u w:val="single"/>
        </w:rPr>
        <w:t>IHI Open School L 101: Introduction to Health Care Leadership</w:t>
      </w:r>
    </w:p>
    <w:p w14:paraId="279EBE40" w14:textId="77777777" w:rsidR="008261E2" w:rsidRPr="008261E2" w:rsidRDefault="000715FE" w:rsidP="008261E2">
      <w:pPr>
        <w:rPr>
          <w:color w:val="0000FF"/>
        </w:rPr>
      </w:pPr>
      <w:hyperlink r:id="rId31">
        <w:r w:rsidR="008261E2" w:rsidRPr="008261E2">
          <w:rPr>
            <w:rStyle w:val="Hyperlink"/>
          </w:rPr>
          <w:t>http://www.ihi.org/education/ihiopenschool/Pages/default.aspx</w:t>
        </w:r>
      </w:hyperlink>
    </w:p>
    <w:p w14:paraId="0FF557EC" w14:textId="4434B5D0" w:rsidR="008261E2" w:rsidRDefault="008261E2" w:rsidP="008261E2">
      <w:r w:rsidRPr="00B45EA8">
        <w:t xml:space="preserve">Online module that uses a case-based approach to </w:t>
      </w:r>
      <w:r>
        <w:t>teach how to persuade diverse types of people to unite to move towards a common goal.  Consists of 3 lessons:</w:t>
      </w:r>
    </w:p>
    <w:p w14:paraId="523AB4D3" w14:textId="77777777" w:rsidR="008261E2" w:rsidRDefault="008261E2" w:rsidP="008261E2">
      <w:pPr>
        <w:pStyle w:val="ListParagraph"/>
        <w:numPr>
          <w:ilvl w:val="0"/>
          <w:numId w:val="6"/>
        </w:numPr>
      </w:pPr>
      <w:r>
        <w:t>Lesson 1: What Makes a Leader?</w:t>
      </w:r>
    </w:p>
    <w:p w14:paraId="3137F66B" w14:textId="77777777" w:rsidR="008261E2" w:rsidRDefault="008261E2" w:rsidP="008261E2">
      <w:pPr>
        <w:pStyle w:val="ListParagraph"/>
        <w:numPr>
          <w:ilvl w:val="0"/>
          <w:numId w:val="6"/>
        </w:numPr>
      </w:pPr>
      <w:r>
        <w:t>Lesson 2: Practical Skills for Leading Teams</w:t>
      </w:r>
    </w:p>
    <w:p w14:paraId="4AF532B3" w14:textId="09856039" w:rsidR="008261E2" w:rsidRDefault="008261E2" w:rsidP="008261E2">
      <w:pPr>
        <w:pStyle w:val="ListParagraph"/>
        <w:numPr>
          <w:ilvl w:val="0"/>
          <w:numId w:val="6"/>
        </w:numPr>
      </w:pPr>
      <w:r>
        <w:t>Lesson 3: Strategies to Sustain Your Health Care Leadership Journey</w:t>
      </w:r>
    </w:p>
    <w:p w14:paraId="2D26FE98" w14:textId="77777777" w:rsidR="008261E2" w:rsidRDefault="008261E2" w:rsidP="00306191"/>
    <w:p w14:paraId="3B286C64" w14:textId="1F98349C" w:rsidR="00AA796C" w:rsidRPr="008261E2" w:rsidRDefault="6789A223" w:rsidP="00306191">
      <w:pPr>
        <w:rPr>
          <w:u w:val="single"/>
        </w:rPr>
      </w:pPr>
      <w:r w:rsidRPr="008261E2">
        <w:rPr>
          <w:u w:val="single"/>
        </w:rPr>
        <w:t>STFM Advocacy Course</w:t>
      </w:r>
    </w:p>
    <w:p w14:paraId="5BAB73F6" w14:textId="30DE3C48" w:rsidR="00AA796C" w:rsidRPr="008261E2" w:rsidRDefault="000715FE" w:rsidP="00306191">
      <w:pPr>
        <w:rPr>
          <w:rStyle w:val="Hyperlink"/>
        </w:rPr>
      </w:pPr>
      <w:hyperlink r:id="rId32">
        <w:r w:rsidR="6789A223" w:rsidRPr="008261E2">
          <w:rPr>
            <w:rStyle w:val="Hyperlink"/>
          </w:rPr>
          <w:t>http://www.stfm.org/Advocacy/AdvocacyCourses</w:t>
        </w:r>
      </w:hyperlink>
    </w:p>
    <w:p w14:paraId="58BB60B5" w14:textId="27D6E06F" w:rsidR="00615EDA" w:rsidRPr="00615EDA" w:rsidRDefault="00615EDA" w:rsidP="00306191">
      <w:pPr>
        <w:rPr>
          <w:rFonts w:ascii="Cambria" w:eastAsia="Cambria" w:hAnsi="Cambria" w:cs="Cambria"/>
          <w:sz w:val="22"/>
          <w:szCs w:val="22"/>
        </w:rPr>
      </w:pPr>
      <w:r w:rsidRPr="00615EDA">
        <w:rPr>
          <w:rFonts w:ascii="Cambria" w:eastAsia="Cambria" w:hAnsi="Cambria" w:cs="Cambria"/>
          <w:sz w:val="22"/>
          <w:szCs w:val="22"/>
        </w:rPr>
        <w:t xml:space="preserve">Provides skills and strategies to educate legislators on the value of family medicine and support the expansion of primary care workforce through 5 free online modules </w:t>
      </w:r>
    </w:p>
    <w:p w14:paraId="14C2B5C9" w14:textId="77777777" w:rsidR="008261E2" w:rsidRDefault="008261E2" w:rsidP="00306191"/>
    <w:p w14:paraId="456819DA" w14:textId="32C574E4" w:rsidR="00AA796C" w:rsidRPr="008261E2" w:rsidRDefault="008261E2" w:rsidP="00306191">
      <w:pPr>
        <w:rPr>
          <w:u w:val="single"/>
        </w:rPr>
      </w:pPr>
      <w:r w:rsidRPr="008261E2">
        <w:rPr>
          <w:u w:val="single"/>
        </w:rPr>
        <w:t>STFM</w:t>
      </w:r>
      <w:r w:rsidR="6789A223" w:rsidRPr="008261E2">
        <w:rPr>
          <w:u w:val="single"/>
        </w:rPr>
        <w:t xml:space="preserve"> Advocacy Toolkit</w:t>
      </w:r>
    </w:p>
    <w:p w14:paraId="2C43DD41" w14:textId="40D476AB" w:rsidR="00AA796C" w:rsidRPr="008261E2" w:rsidRDefault="000715FE" w:rsidP="00306191">
      <w:pPr>
        <w:rPr>
          <w:rStyle w:val="Hyperlink"/>
        </w:rPr>
      </w:pPr>
      <w:hyperlink r:id="rId33" w:history="1">
        <w:r w:rsidR="00615EDA" w:rsidRPr="008261E2">
          <w:rPr>
            <w:rStyle w:val="Hyperlink"/>
          </w:rPr>
          <w:t>http://www.stfm.org/Advocacy/AdvocacyToolkit</w:t>
        </w:r>
      </w:hyperlink>
    </w:p>
    <w:p w14:paraId="5E921C96" w14:textId="2B01ACB6" w:rsidR="00615EDA" w:rsidRPr="00615EDA" w:rsidRDefault="00615EDA" w:rsidP="00306191">
      <w:pPr>
        <w:rPr>
          <w:rFonts w:ascii="Cambria" w:eastAsia="Cambria" w:hAnsi="Cambria" w:cs="Cambria"/>
          <w:sz w:val="22"/>
          <w:szCs w:val="22"/>
        </w:rPr>
      </w:pPr>
      <w:r w:rsidRPr="00615EDA">
        <w:rPr>
          <w:rFonts w:ascii="Cambria" w:eastAsia="Cambria" w:hAnsi="Cambria" w:cs="Cambria"/>
          <w:sz w:val="22"/>
          <w:szCs w:val="22"/>
        </w:rPr>
        <w:t>Tips and resources to prepare to communicate with legislators on the value of primary care</w:t>
      </w:r>
    </w:p>
    <w:p w14:paraId="040A99A1" w14:textId="77777777" w:rsidR="008261E2" w:rsidRDefault="008261E2" w:rsidP="00306191"/>
    <w:p w14:paraId="27432BD9" w14:textId="22431F0A" w:rsidR="00AA796C" w:rsidRPr="008261E2" w:rsidRDefault="6789A223" w:rsidP="00306191">
      <w:pPr>
        <w:rPr>
          <w:u w:val="single"/>
        </w:rPr>
      </w:pPr>
      <w:r w:rsidRPr="008261E2">
        <w:rPr>
          <w:u w:val="single"/>
        </w:rPr>
        <w:t>AAFP Family Medicine Advocacy Summit</w:t>
      </w:r>
    </w:p>
    <w:p w14:paraId="75BC6C5E" w14:textId="28DC840C" w:rsidR="00AA796C" w:rsidRDefault="000715FE" w:rsidP="00306191">
      <w:pPr>
        <w:rPr>
          <w:rStyle w:val="Hyperlink"/>
        </w:rPr>
      </w:pPr>
      <w:hyperlink r:id="rId34">
        <w:r w:rsidR="6789A223" w:rsidRPr="6789A223">
          <w:rPr>
            <w:rStyle w:val="Hyperlink"/>
          </w:rPr>
          <w:t>http://www.aafp.org/advocacy.html</w:t>
        </w:r>
      </w:hyperlink>
    </w:p>
    <w:p w14:paraId="2EC28BD0" w14:textId="5EF39DB9" w:rsidR="00B45EA8" w:rsidRPr="00B45EA8" w:rsidRDefault="00B45EA8" w:rsidP="00306191">
      <w:pPr>
        <w:rPr>
          <w:rFonts w:ascii="Cambria" w:eastAsia="Cambria" w:hAnsi="Cambria" w:cs="Cambria"/>
          <w:sz w:val="22"/>
          <w:szCs w:val="22"/>
        </w:rPr>
      </w:pPr>
      <w:r>
        <w:rPr>
          <w:rFonts w:ascii="Cambria" w:eastAsia="Cambria" w:hAnsi="Cambria" w:cs="Cambria"/>
          <w:sz w:val="22"/>
          <w:szCs w:val="22"/>
        </w:rPr>
        <w:t>An annual 2-</w:t>
      </w:r>
      <w:r w:rsidRPr="00B45EA8">
        <w:rPr>
          <w:rFonts w:ascii="Cambria" w:eastAsia="Cambria" w:hAnsi="Cambria" w:cs="Cambria"/>
          <w:sz w:val="22"/>
          <w:szCs w:val="22"/>
        </w:rPr>
        <w:t>day conference in Washin</w:t>
      </w:r>
      <w:r>
        <w:rPr>
          <w:rFonts w:ascii="Cambria" w:eastAsia="Cambria" w:hAnsi="Cambria" w:cs="Cambria"/>
          <w:sz w:val="22"/>
          <w:szCs w:val="22"/>
        </w:rPr>
        <w:t>gton, DC to learn about current</w:t>
      </w:r>
      <w:r w:rsidRPr="00B45EA8">
        <w:rPr>
          <w:rFonts w:ascii="Cambria" w:eastAsia="Cambria" w:hAnsi="Cambria" w:cs="Cambria"/>
          <w:sz w:val="22"/>
          <w:szCs w:val="22"/>
        </w:rPr>
        <w:t xml:space="preserve"> AAFP legislative priorities and gain experience with the legislative process</w:t>
      </w:r>
    </w:p>
    <w:p w14:paraId="5B07EA42" w14:textId="77777777" w:rsidR="008261E2" w:rsidRDefault="008261E2" w:rsidP="00306191"/>
    <w:p w14:paraId="6EE98354" w14:textId="14820509" w:rsidR="00AA796C" w:rsidRPr="008261E2" w:rsidRDefault="6789A223" w:rsidP="00306191">
      <w:pPr>
        <w:rPr>
          <w:u w:val="single"/>
        </w:rPr>
      </w:pPr>
      <w:r w:rsidRPr="008261E2">
        <w:rPr>
          <w:u w:val="single"/>
        </w:rPr>
        <w:t>AAFP Advocacy toolkit</w:t>
      </w:r>
    </w:p>
    <w:p w14:paraId="7BB28B3F" w14:textId="42F6ADCE" w:rsidR="004A38DE" w:rsidRDefault="000715FE" w:rsidP="00306191">
      <w:pPr>
        <w:rPr>
          <w:rStyle w:val="Hyperlink"/>
        </w:rPr>
      </w:pPr>
      <w:hyperlink r:id="rId35">
        <w:r w:rsidR="6789A223" w:rsidRPr="6789A223">
          <w:rPr>
            <w:rStyle w:val="Hyperlink"/>
          </w:rPr>
          <w:t>http://www.aafp.org/advocacy/involved/toolkit.html</w:t>
        </w:r>
      </w:hyperlink>
    </w:p>
    <w:p w14:paraId="0C768B62" w14:textId="4BDC5D37" w:rsidR="00B45EA8" w:rsidRPr="00B45EA8" w:rsidRDefault="00B45EA8" w:rsidP="00306191">
      <w:pPr>
        <w:rPr>
          <w:rFonts w:ascii="Cambria" w:eastAsia="Cambria" w:hAnsi="Cambria" w:cs="Cambria"/>
          <w:sz w:val="22"/>
          <w:szCs w:val="22"/>
        </w:rPr>
      </w:pPr>
      <w:r w:rsidRPr="00B45EA8">
        <w:rPr>
          <w:rFonts w:ascii="Cambria" w:eastAsia="Cambria" w:hAnsi="Cambria" w:cs="Cambria"/>
          <w:sz w:val="22"/>
          <w:szCs w:val="22"/>
        </w:rPr>
        <w:t>Resources to empower family medicine physicians to participate in the legislative process to support the specialty of family medicine</w:t>
      </w:r>
    </w:p>
    <w:p w14:paraId="21C71A32" w14:textId="77777777" w:rsidR="008261E2" w:rsidRDefault="008261E2" w:rsidP="00306191"/>
    <w:p w14:paraId="5AAAAFDB" w14:textId="3A27BE95" w:rsidR="004A38DE" w:rsidRPr="008261E2" w:rsidRDefault="00B45EA8" w:rsidP="00306191">
      <w:pPr>
        <w:rPr>
          <w:u w:val="single"/>
        </w:rPr>
      </w:pPr>
      <w:r w:rsidRPr="008261E2">
        <w:rPr>
          <w:u w:val="single"/>
        </w:rPr>
        <w:t>World Health Organizat</w:t>
      </w:r>
      <w:r w:rsidR="008261E2" w:rsidRPr="008261E2">
        <w:rPr>
          <w:u w:val="single"/>
        </w:rPr>
        <w:t>i</w:t>
      </w:r>
      <w:r w:rsidRPr="008261E2">
        <w:rPr>
          <w:u w:val="single"/>
        </w:rPr>
        <w:t xml:space="preserve">on </w:t>
      </w:r>
      <w:r w:rsidR="6789A223" w:rsidRPr="008261E2">
        <w:rPr>
          <w:u w:val="single"/>
        </w:rPr>
        <w:t>H</w:t>
      </w:r>
      <w:r w:rsidRPr="008261E2">
        <w:rPr>
          <w:u w:val="single"/>
        </w:rPr>
        <w:t>ealth Impact Assessment</w:t>
      </w:r>
    </w:p>
    <w:p w14:paraId="22D396CC" w14:textId="523A0D91" w:rsidR="00451DB5" w:rsidRDefault="000715FE" w:rsidP="00306191">
      <w:pPr>
        <w:rPr>
          <w:rStyle w:val="Hyperlink"/>
        </w:rPr>
      </w:pPr>
      <w:hyperlink r:id="rId36">
        <w:r w:rsidR="6789A223" w:rsidRPr="6789A223">
          <w:rPr>
            <w:rStyle w:val="Hyperlink"/>
          </w:rPr>
          <w:t>http://www.who.int/hia/en/</w:t>
        </w:r>
      </w:hyperlink>
    </w:p>
    <w:p w14:paraId="18276485" w14:textId="3E2295EF" w:rsidR="00B45EA8" w:rsidRDefault="00B45EA8" w:rsidP="00306191">
      <w:r>
        <w:t>Health Impact Assessment (HIA) is a means of assessing the health impacts of policies and projects in diverse economic sectors. These assessments can help decision makers prioritize health when creating policy. This website provides basic information about and tools to create HIA, as well as examples of how HIA has been used across various sectors. Can be helpful in healthy policy and advocacy curriculum for residents.</w:t>
      </w:r>
    </w:p>
    <w:p w14:paraId="268739C5" w14:textId="77777777" w:rsidR="008261E2" w:rsidRDefault="008261E2" w:rsidP="008261E2">
      <w:pPr>
        <w:rPr>
          <w:b/>
          <w:bCs/>
        </w:rPr>
      </w:pPr>
    </w:p>
    <w:p w14:paraId="16881AF7" w14:textId="7E7F2F59" w:rsidR="00F42C9F" w:rsidRDefault="008261E2" w:rsidP="008261E2">
      <w:pPr>
        <w:rPr>
          <w:u w:val="single"/>
        </w:rPr>
      </w:pPr>
      <w:r w:rsidRPr="008261E2">
        <w:rPr>
          <w:u w:val="single"/>
        </w:rPr>
        <w:t>Community organizing to address the social determinants of health</w:t>
      </w:r>
    </w:p>
    <w:p w14:paraId="49777299" w14:textId="64330A90" w:rsidR="008261E2" w:rsidRDefault="000715FE" w:rsidP="008261E2">
      <w:pPr>
        <w:rPr>
          <w:rStyle w:val="Hyperlink"/>
        </w:rPr>
      </w:pPr>
      <w:hyperlink r:id="rId37">
        <w:r w:rsidR="008261E2" w:rsidRPr="6789A223">
          <w:rPr>
            <w:rStyle w:val="Hyperlink"/>
          </w:rPr>
          <w:t>http://www.industrialareasfoundation.org/</w:t>
        </w:r>
      </w:hyperlink>
    </w:p>
    <w:p w14:paraId="152919E5" w14:textId="06D8F3AD" w:rsidR="00F42C9F" w:rsidRDefault="000715FE" w:rsidP="008261E2">
      <w:pPr>
        <w:rPr>
          <w:rStyle w:val="Hyperlink"/>
          <w:color w:val="auto"/>
        </w:rPr>
      </w:pPr>
      <w:hyperlink r:id="rId38" w:history="1">
        <w:r w:rsidR="00F42C9F" w:rsidRPr="00C2622D">
          <w:rPr>
            <w:rStyle w:val="Hyperlink"/>
          </w:rPr>
          <w:t>http://iafnw.org/spokanealliance/health-equity-organizing</w:t>
        </w:r>
      </w:hyperlink>
    </w:p>
    <w:p w14:paraId="6C33FB4A" w14:textId="4C08DC02" w:rsidR="00F42C9F" w:rsidRDefault="008261E2" w:rsidP="008261E2">
      <w:pPr>
        <w:rPr>
          <w:rFonts w:ascii="Cambria" w:eastAsia="Cambria" w:hAnsi="Cambria" w:cs="Cambria"/>
          <w:sz w:val="22"/>
          <w:szCs w:val="22"/>
        </w:rPr>
      </w:pPr>
      <w:r w:rsidRPr="00615EDA">
        <w:rPr>
          <w:rFonts w:ascii="Cambria" w:eastAsia="Cambria" w:hAnsi="Cambria" w:cs="Cambria"/>
          <w:sz w:val="22"/>
          <w:szCs w:val="22"/>
        </w:rPr>
        <w:t>T</w:t>
      </w:r>
      <w:r w:rsidRPr="00306191">
        <w:rPr>
          <w:rFonts w:ascii="Cambria" w:eastAsia="Cambria" w:hAnsi="Cambria" w:cs="Cambria"/>
          <w:sz w:val="22"/>
          <w:szCs w:val="22"/>
        </w:rPr>
        <w:t xml:space="preserve">he Industrial Areas Foundation is </w:t>
      </w:r>
      <w:r>
        <w:rPr>
          <w:rFonts w:ascii="Cambria" w:eastAsia="Cambria" w:hAnsi="Cambria" w:cs="Cambria"/>
          <w:sz w:val="22"/>
          <w:szCs w:val="22"/>
        </w:rPr>
        <w:t xml:space="preserve">a network </w:t>
      </w:r>
      <w:r w:rsidRPr="00306191">
        <w:rPr>
          <w:rFonts w:ascii="Cambria" w:eastAsia="Cambria" w:hAnsi="Cambria" w:cs="Cambria"/>
          <w:sz w:val="22"/>
          <w:szCs w:val="22"/>
        </w:rPr>
        <w:t xml:space="preserve">of </w:t>
      </w:r>
      <w:r>
        <w:rPr>
          <w:rFonts w:ascii="Cambria" w:eastAsia="Cambria" w:hAnsi="Cambria" w:cs="Cambria"/>
          <w:sz w:val="22"/>
          <w:szCs w:val="22"/>
        </w:rPr>
        <w:t xml:space="preserve">community-based organizations that partner </w:t>
      </w:r>
      <w:r w:rsidRPr="00306191">
        <w:rPr>
          <w:rFonts w:ascii="Cambria" w:eastAsia="Cambria" w:hAnsi="Cambria" w:cs="Cambria"/>
          <w:sz w:val="22"/>
          <w:szCs w:val="22"/>
        </w:rPr>
        <w:t xml:space="preserve">at the local level to build broad-based organizing projects, </w:t>
      </w:r>
      <w:r>
        <w:rPr>
          <w:rFonts w:ascii="Cambria" w:eastAsia="Cambria" w:hAnsi="Cambria" w:cs="Cambria"/>
          <w:sz w:val="22"/>
          <w:szCs w:val="22"/>
        </w:rPr>
        <w:t xml:space="preserve">creating </w:t>
      </w:r>
      <w:r w:rsidR="00F42C9F">
        <w:rPr>
          <w:rFonts w:ascii="Cambria" w:eastAsia="Cambria" w:hAnsi="Cambria" w:cs="Cambria"/>
          <w:sz w:val="22"/>
          <w:szCs w:val="22"/>
        </w:rPr>
        <w:t>opportunity</w:t>
      </w:r>
    </w:p>
    <w:p w14:paraId="79A2694C" w14:textId="7165DF4A" w:rsidR="00B45EA8" w:rsidRPr="008261E2" w:rsidRDefault="008261E2" w:rsidP="008261E2">
      <w:pPr>
        <w:rPr>
          <w:rFonts w:ascii="Cambria" w:eastAsia="Cambria" w:hAnsi="Cambria" w:cs="Cambria"/>
          <w:sz w:val="22"/>
          <w:szCs w:val="22"/>
        </w:rPr>
      </w:pPr>
      <w:r>
        <w:rPr>
          <w:rFonts w:ascii="Cambria" w:eastAsia="Cambria" w:hAnsi="Cambria" w:cs="Cambria"/>
          <w:sz w:val="22"/>
          <w:szCs w:val="22"/>
        </w:rPr>
        <w:t>s for community</w:t>
      </w:r>
      <w:r w:rsidRPr="00306191">
        <w:rPr>
          <w:rFonts w:ascii="Cambria" w:eastAsia="Cambria" w:hAnsi="Cambria" w:cs="Cambria"/>
          <w:sz w:val="22"/>
          <w:szCs w:val="22"/>
        </w:rPr>
        <w:t xml:space="preserve"> leadership development, citizen-led action</w:t>
      </w:r>
      <w:r>
        <w:rPr>
          <w:rFonts w:ascii="Cambria" w:eastAsia="Cambria" w:hAnsi="Cambria" w:cs="Cambria"/>
          <w:sz w:val="22"/>
          <w:szCs w:val="22"/>
        </w:rPr>
        <w:t>,</w:t>
      </w:r>
      <w:r w:rsidRPr="00306191">
        <w:rPr>
          <w:rFonts w:ascii="Cambria" w:eastAsia="Cambria" w:hAnsi="Cambria" w:cs="Cambria"/>
          <w:sz w:val="22"/>
          <w:szCs w:val="22"/>
        </w:rPr>
        <w:t xml:space="preserve"> and relationships across the lines that often divide our communities.</w:t>
      </w:r>
      <w:r w:rsidRPr="00615EDA">
        <w:rPr>
          <w:rFonts w:ascii="Cambria" w:eastAsia="Cambria" w:hAnsi="Cambria" w:cs="Cambria"/>
          <w:sz w:val="22"/>
          <w:szCs w:val="22"/>
        </w:rPr>
        <w:t xml:space="preserve"> </w:t>
      </w:r>
      <w:r>
        <w:rPr>
          <w:rFonts w:ascii="Cambria" w:eastAsia="Cambria" w:hAnsi="Cambria" w:cs="Cambria"/>
          <w:sz w:val="22"/>
          <w:szCs w:val="22"/>
        </w:rPr>
        <w:t xml:space="preserve">The Northwest chapters have recently taken on health equity as an initiative. </w:t>
      </w:r>
      <w:r w:rsidRPr="00306191">
        <w:rPr>
          <w:rFonts w:ascii="Cambria" w:eastAsia="Cambria" w:hAnsi="Cambria" w:cs="Cambria"/>
          <w:sz w:val="22"/>
          <w:szCs w:val="22"/>
        </w:rPr>
        <w:t>Hosts local and regional trainings in leadership and community organizing</w:t>
      </w:r>
      <w:r>
        <w:rPr>
          <w:rFonts w:ascii="Cambria" w:eastAsia="Cambria" w:hAnsi="Cambria" w:cs="Cambria"/>
          <w:sz w:val="22"/>
          <w:szCs w:val="22"/>
        </w:rPr>
        <w:t>.</w:t>
      </w:r>
    </w:p>
    <w:sectPr w:rsidR="00B45EA8" w:rsidRPr="008261E2" w:rsidSect="00AA79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3DCF"/>
    <w:multiLevelType w:val="hybridMultilevel"/>
    <w:tmpl w:val="D988EF5C"/>
    <w:lvl w:ilvl="0" w:tplc="F610655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93486"/>
    <w:multiLevelType w:val="hybridMultilevel"/>
    <w:tmpl w:val="73F6155E"/>
    <w:lvl w:ilvl="0" w:tplc="376A3382">
      <w:start w:val="1"/>
      <w:numFmt w:val="bullet"/>
      <w:lvlText w:val=""/>
      <w:lvlJc w:val="left"/>
      <w:pPr>
        <w:ind w:left="720" w:hanging="360"/>
      </w:pPr>
      <w:rPr>
        <w:rFonts w:ascii="Symbol" w:hAnsi="Symbol" w:hint="default"/>
      </w:rPr>
    </w:lvl>
    <w:lvl w:ilvl="1" w:tplc="56C2E1D2">
      <w:start w:val="1"/>
      <w:numFmt w:val="bullet"/>
      <w:lvlText w:val="o"/>
      <w:lvlJc w:val="left"/>
      <w:pPr>
        <w:ind w:left="1440" w:hanging="360"/>
      </w:pPr>
      <w:rPr>
        <w:rFonts w:ascii="Courier New" w:hAnsi="Courier New" w:hint="default"/>
      </w:rPr>
    </w:lvl>
    <w:lvl w:ilvl="2" w:tplc="B300A4DE">
      <w:start w:val="1"/>
      <w:numFmt w:val="bullet"/>
      <w:lvlText w:val=""/>
      <w:lvlJc w:val="left"/>
      <w:pPr>
        <w:ind w:left="2160" w:hanging="360"/>
      </w:pPr>
      <w:rPr>
        <w:rFonts w:ascii="Wingdings" w:hAnsi="Wingdings" w:hint="default"/>
      </w:rPr>
    </w:lvl>
    <w:lvl w:ilvl="3" w:tplc="42F4FBB4">
      <w:start w:val="1"/>
      <w:numFmt w:val="bullet"/>
      <w:lvlText w:val=""/>
      <w:lvlJc w:val="left"/>
      <w:pPr>
        <w:ind w:left="2880" w:hanging="360"/>
      </w:pPr>
      <w:rPr>
        <w:rFonts w:ascii="Symbol" w:hAnsi="Symbol" w:hint="default"/>
      </w:rPr>
    </w:lvl>
    <w:lvl w:ilvl="4" w:tplc="E9667C7C">
      <w:start w:val="1"/>
      <w:numFmt w:val="bullet"/>
      <w:lvlText w:val="o"/>
      <w:lvlJc w:val="left"/>
      <w:pPr>
        <w:ind w:left="3600" w:hanging="360"/>
      </w:pPr>
      <w:rPr>
        <w:rFonts w:ascii="Courier New" w:hAnsi="Courier New" w:hint="default"/>
      </w:rPr>
    </w:lvl>
    <w:lvl w:ilvl="5" w:tplc="14D6BB96">
      <w:start w:val="1"/>
      <w:numFmt w:val="bullet"/>
      <w:lvlText w:val=""/>
      <w:lvlJc w:val="left"/>
      <w:pPr>
        <w:ind w:left="4320" w:hanging="360"/>
      </w:pPr>
      <w:rPr>
        <w:rFonts w:ascii="Wingdings" w:hAnsi="Wingdings" w:hint="default"/>
      </w:rPr>
    </w:lvl>
    <w:lvl w:ilvl="6" w:tplc="F26CDABC">
      <w:start w:val="1"/>
      <w:numFmt w:val="bullet"/>
      <w:lvlText w:val=""/>
      <w:lvlJc w:val="left"/>
      <w:pPr>
        <w:ind w:left="5040" w:hanging="360"/>
      </w:pPr>
      <w:rPr>
        <w:rFonts w:ascii="Symbol" w:hAnsi="Symbol" w:hint="default"/>
      </w:rPr>
    </w:lvl>
    <w:lvl w:ilvl="7" w:tplc="F256982E">
      <w:start w:val="1"/>
      <w:numFmt w:val="bullet"/>
      <w:lvlText w:val="o"/>
      <w:lvlJc w:val="left"/>
      <w:pPr>
        <w:ind w:left="5760" w:hanging="360"/>
      </w:pPr>
      <w:rPr>
        <w:rFonts w:ascii="Courier New" w:hAnsi="Courier New" w:hint="default"/>
      </w:rPr>
    </w:lvl>
    <w:lvl w:ilvl="8" w:tplc="BE009D26">
      <w:start w:val="1"/>
      <w:numFmt w:val="bullet"/>
      <w:lvlText w:val=""/>
      <w:lvlJc w:val="left"/>
      <w:pPr>
        <w:ind w:left="6480" w:hanging="360"/>
      </w:pPr>
      <w:rPr>
        <w:rFonts w:ascii="Wingdings" w:hAnsi="Wingdings" w:hint="default"/>
      </w:rPr>
    </w:lvl>
  </w:abstractNum>
  <w:abstractNum w:abstractNumId="2" w15:restartNumberingAfterBreak="0">
    <w:nsid w:val="3E086CE6"/>
    <w:multiLevelType w:val="hybridMultilevel"/>
    <w:tmpl w:val="59E4E546"/>
    <w:lvl w:ilvl="0" w:tplc="376A3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344CA"/>
    <w:multiLevelType w:val="hybridMultilevel"/>
    <w:tmpl w:val="7D521390"/>
    <w:lvl w:ilvl="0" w:tplc="082E1F3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A03E3"/>
    <w:multiLevelType w:val="hybridMultilevel"/>
    <w:tmpl w:val="EA96FB24"/>
    <w:lvl w:ilvl="0" w:tplc="A8647312">
      <w:numFmt w:val="bullet"/>
      <w:lvlText w:val="-"/>
      <w:lvlJc w:val="left"/>
      <w:pPr>
        <w:ind w:left="720" w:hanging="360"/>
      </w:pPr>
      <w:rPr>
        <w:rFonts w:ascii="Cambria" w:eastAsiaTheme="minorHAnsi" w:hAnsi="Cambria" w:cstheme="minorBidi"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833D4"/>
    <w:multiLevelType w:val="hybridMultilevel"/>
    <w:tmpl w:val="F84054F6"/>
    <w:lvl w:ilvl="0" w:tplc="082E1F3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6C"/>
    <w:rsid w:val="000715FE"/>
    <w:rsid w:val="000B319D"/>
    <w:rsid w:val="002C192C"/>
    <w:rsid w:val="00306191"/>
    <w:rsid w:val="00336F7D"/>
    <w:rsid w:val="003D2D68"/>
    <w:rsid w:val="00451DB5"/>
    <w:rsid w:val="004A38DE"/>
    <w:rsid w:val="0052594F"/>
    <w:rsid w:val="005D35B4"/>
    <w:rsid w:val="00615EDA"/>
    <w:rsid w:val="00701B14"/>
    <w:rsid w:val="008261E2"/>
    <w:rsid w:val="00967F05"/>
    <w:rsid w:val="00984A4B"/>
    <w:rsid w:val="009A6668"/>
    <w:rsid w:val="00AA796C"/>
    <w:rsid w:val="00AC6492"/>
    <w:rsid w:val="00B43D13"/>
    <w:rsid w:val="00B45EA8"/>
    <w:rsid w:val="00CF4088"/>
    <w:rsid w:val="00D305D3"/>
    <w:rsid w:val="00D32384"/>
    <w:rsid w:val="00F379C3"/>
    <w:rsid w:val="00F41C50"/>
    <w:rsid w:val="00F42C9F"/>
    <w:rsid w:val="00FF7456"/>
    <w:rsid w:val="16152FE6"/>
    <w:rsid w:val="6789A2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7934"/>
  <w15:docId w15:val="{4D450E88-CC74-4255-A93E-F076E243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82"/>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6C"/>
    <w:rPr>
      <w:color w:val="0000FF" w:themeColor="hyperlink"/>
      <w:u w:val="single"/>
    </w:rPr>
  </w:style>
  <w:style w:type="paragraph" w:styleId="ListParagraph">
    <w:name w:val="List Paragraph"/>
    <w:basedOn w:val="Normal"/>
    <w:uiPriority w:val="34"/>
    <w:qFormat/>
    <w:rsid w:val="00967F05"/>
    <w:pPr>
      <w:ind w:left="720"/>
      <w:contextualSpacing/>
    </w:pPr>
  </w:style>
  <w:style w:type="paragraph" w:customStyle="1" w:styleId="Normal1">
    <w:name w:val="Normal1"/>
    <w:basedOn w:val="Normal"/>
    <w:rsid w:val="00967F05"/>
    <w:pPr>
      <w:spacing w:after="200" w:line="260" w:lineRule="atLeast"/>
    </w:pPr>
    <w:rPr>
      <w:rFonts w:ascii="Calibri" w:eastAsia="Times New Roman" w:hAnsi="Calibri" w:cs="Times New Roman"/>
      <w:sz w:val="22"/>
      <w:szCs w:val="22"/>
    </w:rPr>
  </w:style>
  <w:style w:type="character" w:customStyle="1" w:styleId="hyperlinkchar1">
    <w:name w:val="hyperlink__char1"/>
    <w:basedOn w:val="DefaultParagraphFont"/>
    <w:rsid w:val="00967F05"/>
    <w:rPr>
      <w:color w:val="0000FF"/>
      <w:u w:val="single"/>
    </w:rPr>
  </w:style>
  <w:style w:type="character" w:styleId="FollowedHyperlink">
    <w:name w:val="FollowedHyperlink"/>
    <w:basedOn w:val="DefaultParagraphFont"/>
    <w:uiPriority w:val="99"/>
    <w:semiHidden/>
    <w:unhideWhenUsed/>
    <w:rsid w:val="00D305D3"/>
    <w:rPr>
      <w:color w:val="800080" w:themeColor="followedHyperlink"/>
      <w:u w:val="single"/>
    </w:rPr>
  </w:style>
  <w:style w:type="paragraph" w:customStyle="1" w:styleId="normal10">
    <w:name w:val="normal1"/>
    <w:basedOn w:val="Normal"/>
    <w:rsid w:val="00D305D3"/>
    <w:rPr>
      <w:rFonts w:ascii="Times New Roman" w:hAnsi="Times New Roman" w:cs="Times New Roman"/>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06191"/>
    <w:pPr>
      <w:spacing w:before="240" w:after="240"/>
    </w:pPr>
    <w:rPr>
      <w:rFonts w:ascii="Times New Roman" w:eastAsia="Times New Roman" w:hAnsi="Times New Roman" w:cs="Times New Roman"/>
    </w:rPr>
  </w:style>
  <w:style w:type="character" w:customStyle="1" w:styleId="Mention">
    <w:name w:val="Mention"/>
    <w:basedOn w:val="DefaultParagraphFont"/>
    <w:uiPriority w:val="99"/>
    <w:semiHidden/>
    <w:unhideWhenUsed/>
    <w:rsid w:val="00615E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723">
      <w:bodyDiv w:val="1"/>
      <w:marLeft w:val="0"/>
      <w:marRight w:val="0"/>
      <w:marTop w:val="0"/>
      <w:marBottom w:val="0"/>
      <w:divBdr>
        <w:top w:val="none" w:sz="0" w:space="0" w:color="auto"/>
        <w:left w:val="none" w:sz="0" w:space="0" w:color="auto"/>
        <w:bottom w:val="none" w:sz="0" w:space="0" w:color="auto"/>
        <w:right w:val="none" w:sz="0" w:space="0" w:color="auto"/>
      </w:divBdr>
    </w:div>
    <w:div w:id="346715941">
      <w:bodyDiv w:val="1"/>
      <w:marLeft w:val="0"/>
      <w:marRight w:val="0"/>
      <w:marTop w:val="0"/>
      <w:marBottom w:val="0"/>
      <w:divBdr>
        <w:top w:val="none" w:sz="0" w:space="0" w:color="auto"/>
        <w:left w:val="none" w:sz="0" w:space="0" w:color="auto"/>
        <w:bottom w:val="none" w:sz="0" w:space="0" w:color="auto"/>
        <w:right w:val="none" w:sz="0" w:space="0" w:color="auto"/>
      </w:divBdr>
      <w:divsChild>
        <w:div w:id="164053901">
          <w:marLeft w:val="0"/>
          <w:marRight w:val="0"/>
          <w:marTop w:val="0"/>
          <w:marBottom w:val="0"/>
          <w:divBdr>
            <w:top w:val="none" w:sz="0" w:space="0" w:color="auto"/>
            <w:left w:val="none" w:sz="0" w:space="0" w:color="auto"/>
            <w:bottom w:val="none" w:sz="0" w:space="0" w:color="auto"/>
            <w:right w:val="none" w:sz="0" w:space="0" w:color="auto"/>
          </w:divBdr>
          <w:divsChild>
            <w:div w:id="1462654939">
              <w:marLeft w:val="0"/>
              <w:marRight w:val="0"/>
              <w:marTop w:val="0"/>
              <w:marBottom w:val="0"/>
              <w:divBdr>
                <w:top w:val="none" w:sz="0" w:space="0" w:color="auto"/>
                <w:left w:val="none" w:sz="0" w:space="0" w:color="auto"/>
                <w:bottom w:val="none" w:sz="0" w:space="0" w:color="auto"/>
                <w:right w:val="none" w:sz="0" w:space="0" w:color="auto"/>
              </w:divBdr>
              <w:divsChild>
                <w:div w:id="515584246">
                  <w:marLeft w:val="0"/>
                  <w:marRight w:val="0"/>
                  <w:marTop w:val="0"/>
                  <w:marBottom w:val="0"/>
                  <w:divBdr>
                    <w:top w:val="none" w:sz="0" w:space="0" w:color="auto"/>
                    <w:left w:val="none" w:sz="0" w:space="0" w:color="auto"/>
                    <w:bottom w:val="none" w:sz="0" w:space="0" w:color="auto"/>
                    <w:right w:val="none" w:sz="0" w:space="0" w:color="auto"/>
                  </w:divBdr>
                  <w:divsChild>
                    <w:div w:id="146476984">
                      <w:marLeft w:val="0"/>
                      <w:marRight w:val="0"/>
                      <w:marTop w:val="0"/>
                      <w:marBottom w:val="0"/>
                      <w:divBdr>
                        <w:top w:val="none" w:sz="0" w:space="0" w:color="auto"/>
                        <w:left w:val="none" w:sz="0" w:space="0" w:color="auto"/>
                        <w:bottom w:val="none" w:sz="0" w:space="0" w:color="auto"/>
                        <w:right w:val="none" w:sz="0" w:space="0" w:color="auto"/>
                      </w:divBdr>
                      <w:divsChild>
                        <w:div w:id="98137904">
                          <w:marLeft w:val="0"/>
                          <w:marRight w:val="0"/>
                          <w:marTop w:val="0"/>
                          <w:marBottom w:val="30"/>
                          <w:divBdr>
                            <w:top w:val="none" w:sz="0" w:space="0" w:color="auto"/>
                            <w:left w:val="none" w:sz="0" w:space="0" w:color="auto"/>
                            <w:bottom w:val="none" w:sz="0" w:space="0" w:color="auto"/>
                            <w:right w:val="none" w:sz="0" w:space="0" w:color="auto"/>
                          </w:divBdr>
                          <w:divsChild>
                            <w:div w:id="822895143">
                              <w:marLeft w:val="0"/>
                              <w:marRight w:val="-14100"/>
                              <w:marTop w:val="0"/>
                              <w:marBottom w:val="300"/>
                              <w:divBdr>
                                <w:top w:val="none" w:sz="0" w:space="0" w:color="auto"/>
                                <w:left w:val="none" w:sz="0" w:space="0" w:color="auto"/>
                                <w:bottom w:val="none" w:sz="0" w:space="0" w:color="auto"/>
                                <w:right w:val="none" w:sz="0" w:space="0" w:color="auto"/>
                              </w:divBdr>
                              <w:divsChild>
                                <w:div w:id="1183594147">
                                  <w:marLeft w:val="0"/>
                                  <w:marRight w:val="0"/>
                                  <w:marTop w:val="0"/>
                                  <w:marBottom w:val="0"/>
                                  <w:divBdr>
                                    <w:top w:val="none" w:sz="0" w:space="0" w:color="auto"/>
                                    <w:left w:val="none" w:sz="0" w:space="0" w:color="auto"/>
                                    <w:bottom w:val="none" w:sz="0" w:space="0" w:color="auto"/>
                                    <w:right w:val="none" w:sz="0" w:space="0" w:color="auto"/>
                                  </w:divBdr>
                                  <w:divsChild>
                                    <w:div w:id="1720975802">
                                      <w:marLeft w:val="0"/>
                                      <w:marRight w:val="0"/>
                                      <w:marTop w:val="0"/>
                                      <w:marBottom w:val="0"/>
                                      <w:divBdr>
                                        <w:top w:val="none" w:sz="0" w:space="0" w:color="auto"/>
                                        <w:left w:val="none" w:sz="0" w:space="0" w:color="auto"/>
                                        <w:bottom w:val="none" w:sz="0" w:space="0" w:color="auto"/>
                                        <w:right w:val="none" w:sz="0" w:space="0" w:color="auto"/>
                                      </w:divBdr>
                                      <w:divsChild>
                                        <w:div w:id="142430246">
                                          <w:marLeft w:val="0"/>
                                          <w:marRight w:val="0"/>
                                          <w:marTop w:val="0"/>
                                          <w:marBottom w:val="0"/>
                                          <w:divBdr>
                                            <w:top w:val="none" w:sz="0" w:space="0" w:color="auto"/>
                                            <w:left w:val="none" w:sz="0" w:space="0" w:color="auto"/>
                                            <w:bottom w:val="none" w:sz="0" w:space="0" w:color="auto"/>
                                            <w:right w:val="none" w:sz="0" w:space="0" w:color="auto"/>
                                          </w:divBdr>
                                          <w:divsChild>
                                            <w:div w:id="1112673521">
                                              <w:marLeft w:val="0"/>
                                              <w:marRight w:val="0"/>
                                              <w:marTop w:val="0"/>
                                              <w:marBottom w:val="0"/>
                                              <w:divBdr>
                                                <w:top w:val="none" w:sz="0" w:space="0" w:color="auto"/>
                                                <w:left w:val="none" w:sz="0" w:space="0" w:color="auto"/>
                                                <w:bottom w:val="none" w:sz="0" w:space="0" w:color="auto"/>
                                                <w:right w:val="none" w:sz="0" w:space="0" w:color="auto"/>
                                              </w:divBdr>
                                              <w:divsChild>
                                                <w:div w:id="1638759725">
                                                  <w:marLeft w:val="0"/>
                                                  <w:marRight w:val="0"/>
                                                  <w:marTop w:val="0"/>
                                                  <w:marBottom w:val="0"/>
                                                  <w:divBdr>
                                                    <w:top w:val="none" w:sz="0" w:space="0" w:color="auto"/>
                                                    <w:left w:val="none" w:sz="0" w:space="0" w:color="auto"/>
                                                    <w:bottom w:val="none" w:sz="0" w:space="0" w:color="auto"/>
                                                    <w:right w:val="none" w:sz="0" w:space="0" w:color="auto"/>
                                                  </w:divBdr>
                                                  <w:divsChild>
                                                    <w:div w:id="940914271">
                                                      <w:marLeft w:val="0"/>
                                                      <w:marRight w:val="0"/>
                                                      <w:marTop w:val="0"/>
                                                      <w:marBottom w:val="0"/>
                                                      <w:divBdr>
                                                        <w:top w:val="none" w:sz="0" w:space="0" w:color="auto"/>
                                                        <w:left w:val="none" w:sz="0" w:space="0" w:color="auto"/>
                                                        <w:bottom w:val="none" w:sz="0" w:space="0" w:color="auto"/>
                                                        <w:right w:val="none" w:sz="0" w:space="0" w:color="auto"/>
                                                      </w:divBdr>
                                                      <w:divsChild>
                                                        <w:div w:id="958993097">
                                                          <w:marLeft w:val="0"/>
                                                          <w:marRight w:val="0"/>
                                                          <w:marTop w:val="0"/>
                                                          <w:marBottom w:val="0"/>
                                                          <w:divBdr>
                                                            <w:top w:val="none" w:sz="0" w:space="0" w:color="auto"/>
                                                            <w:left w:val="none" w:sz="0" w:space="0" w:color="auto"/>
                                                            <w:bottom w:val="none" w:sz="0" w:space="0" w:color="auto"/>
                                                            <w:right w:val="none" w:sz="0" w:space="0" w:color="auto"/>
                                                          </w:divBdr>
                                                          <w:divsChild>
                                                            <w:div w:id="89283238">
                                                              <w:marLeft w:val="0"/>
                                                              <w:marRight w:val="0"/>
                                                              <w:marTop w:val="0"/>
                                                              <w:marBottom w:val="0"/>
                                                              <w:divBdr>
                                                                <w:top w:val="none" w:sz="0" w:space="0" w:color="auto"/>
                                                                <w:left w:val="none" w:sz="0" w:space="0" w:color="auto"/>
                                                                <w:bottom w:val="none" w:sz="0" w:space="0" w:color="auto"/>
                                                                <w:right w:val="none" w:sz="0" w:space="0" w:color="auto"/>
                                                              </w:divBdr>
                                                              <w:divsChild>
                                                                <w:div w:id="191308542">
                                                                  <w:marLeft w:val="0"/>
                                                                  <w:marRight w:val="0"/>
                                                                  <w:marTop w:val="0"/>
                                                                  <w:marBottom w:val="0"/>
                                                                  <w:divBdr>
                                                                    <w:top w:val="none" w:sz="0" w:space="0" w:color="auto"/>
                                                                    <w:left w:val="none" w:sz="0" w:space="0" w:color="auto"/>
                                                                    <w:bottom w:val="none" w:sz="0" w:space="0" w:color="auto"/>
                                                                    <w:right w:val="none" w:sz="0" w:space="0" w:color="auto"/>
                                                                  </w:divBdr>
                                                                  <w:divsChild>
                                                                    <w:div w:id="1516919941">
                                                                      <w:marLeft w:val="0"/>
                                                                      <w:marRight w:val="0"/>
                                                                      <w:marTop w:val="0"/>
                                                                      <w:marBottom w:val="0"/>
                                                                      <w:divBdr>
                                                                        <w:top w:val="none" w:sz="0" w:space="0" w:color="auto"/>
                                                                        <w:left w:val="none" w:sz="0" w:space="0" w:color="auto"/>
                                                                        <w:bottom w:val="none" w:sz="0" w:space="0" w:color="auto"/>
                                                                        <w:right w:val="none" w:sz="0" w:space="0" w:color="auto"/>
                                                                      </w:divBdr>
                                                                      <w:divsChild>
                                                                        <w:div w:id="1780300693">
                                                                          <w:marLeft w:val="0"/>
                                                                          <w:marRight w:val="0"/>
                                                                          <w:marTop w:val="0"/>
                                                                          <w:marBottom w:val="0"/>
                                                                          <w:divBdr>
                                                                            <w:top w:val="none" w:sz="0" w:space="0" w:color="auto"/>
                                                                            <w:left w:val="none" w:sz="0" w:space="0" w:color="auto"/>
                                                                            <w:bottom w:val="none" w:sz="0" w:space="0" w:color="auto"/>
                                                                            <w:right w:val="none" w:sz="0" w:space="0" w:color="auto"/>
                                                                          </w:divBdr>
                                                                          <w:divsChild>
                                                                            <w:div w:id="384529309">
                                                                              <w:marLeft w:val="0"/>
                                                                              <w:marRight w:val="0"/>
                                                                              <w:marTop w:val="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sChild>
                                                                                    <w:div w:id="1595867220">
                                                                                      <w:marLeft w:val="0"/>
                                                                                      <w:marRight w:val="0"/>
                                                                                      <w:marTop w:val="0"/>
                                                                                      <w:marBottom w:val="0"/>
                                                                                      <w:divBdr>
                                                                                        <w:top w:val="none" w:sz="0" w:space="0" w:color="auto"/>
                                                                                        <w:left w:val="none" w:sz="0" w:space="0" w:color="auto"/>
                                                                                        <w:bottom w:val="none" w:sz="0" w:space="0" w:color="auto"/>
                                                                                        <w:right w:val="none" w:sz="0" w:space="0" w:color="auto"/>
                                                                                      </w:divBdr>
                                                                                      <w:divsChild>
                                                                                        <w:div w:id="1840388557">
                                                                                          <w:marLeft w:val="0"/>
                                                                                          <w:marRight w:val="0"/>
                                                                                          <w:marTop w:val="0"/>
                                                                                          <w:marBottom w:val="0"/>
                                                                                          <w:divBdr>
                                                                                            <w:top w:val="none" w:sz="0" w:space="0" w:color="auto"/>
                                                                                            <w:left w:val="none" w:sz="0" w:space="0" w:color="auto"/>
                                                                                            <w:bottom w:val="none" w:sz="0" w:space="0" w:color="auto"/>
                                                                                            <w:right w:val="none" w:sz="0" w:space="0" w:color="auto"/>
                                                                                          </w:divBdr>
                                                                                          <w:divsChild>
                                                                                            <w:div w:id="598871677">
                                                                                              <w:marLeft w:val="0"/>
                                                                                              <w:marRight w:val="0"/>
                                                                                              <w:marTop w:val="0"/>
                                                                                              <w:marBottom w:val="0"/>
                                                                                              <w:divBdr>
                                                                                                <w:top w:val="none" w:sz="0" w:space="0" w:color="auto"/>
                                                                                                <w:left w:val="none" w:sz="0" w:space="0" w:color="auto"/>
                                                                                                <w:bottom w:val="none" w:sz="0" w:space="0" w:color="auto"/>
                                                                                                <w:right w:val="none" w:sz="0" w:space="0" w:color="auto"/>
                                                                                              </w:divBdr>
                                                                                              <w:divsChild>
                                                                                                <w:div w:id="1828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37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s.org/phpapps/html/cme_PodCast_Home.php" TargetMode="External"/><Relationship Id="rId13" Type="http://schemas.openxmlformats.org/officeDocument/2006/relationships/hyperlink" Target="https://www.practicalplaybook.org/resources/filter?primary=36" TargetMode="External"/><Relationship Id="rId18" Type="http://schemas.openxmlformats.org/officeDocument/2006/relationships/hyperlink" Target="https://en.wikipedia.org/wiki/United_States" TargetMode="External"/><Relationship Id="rId26" Type="http://schemas.openxmlformats.org/officeDocument/2006/relationships/hyperlink" Target="http://www.rootsofhealthinequity.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wcphp.org/training" TargetMode="External"/><Relationship Id="rId34" Type="http://schemas.openxmlformats.org/officeDocument/2006/relationships/hyperlink" Target="http://www.aafp.org/advocacy.html" TargetMode="External"/><Relationship Id="rId7" Type="http://schemas.openxmlformats.org/officeDocument/2006/relationships/hyperlink" Target="http://www.ihi.org/education/ihiopenschool/Pages/default.aspx" TargetMode="External"/><Relationship Id="rId12" Type="http://schemas.openxmlformats.org/officeDocument/2006/relationships/hyperlink" Target="https://www.practicalplaybook.org/section/expert-insights/working-data" TargetMode="External"/><Relationship Id="rId17" Type="http://schemas.openxmlformats.org/officeDocument/2006/relationships/hyperlink" Target="https://en.wikipedia.org/wiki/Public_health" TargetMode="External"/><Relationship Id="rId25" Type="http://schemas.openxmlformats.org/officeDocument/2006/relationships/hyperlink" Target="http://www.childhoodhunger.org/" TargetMode="External"/><Relationship Id="rId33" Type="http://schemas.openxmlformats.org/officeDocument/2006/relationships/hyperlink" Target="http://www.stfm.org/Advocacy/AdvocacyToolkit" TargetMode="External"/><Relationship Id="rId38" Type="http://schemas.openxmlformats.org/officeDocument/2006/relationships/hyperlink" Target="http://iafnw.org/spokanealliance/health-equity-organizing" TargetMode="External"/><Relationship Id="rId2" Type="http://schemas.openxmlformats.org/officeDocument/2006/relationships/numbering" Target="numbering.xml"/><Relationship Id="rId16" Type="http://schemas.openxmlformats.org/officeDocument/2006/relationships/hyperlink" Target="https://en.wikipedia.org/wiki/Federal_Statistical_System_of_the_United_States" TargetMode="External"/><Relationship Id="rId20" Type="http://schemas.openxmlformats.org/officeDocument/2006/relationships/hyperlink" Target="https://www.healthypeople.gov/2020/How-to-Use-DATA2020" TargetMode="External"/><Relationship Id="rId29" Type="http://schemas.openxmlformats.org/officeDocument/2006/relationships/hyperlink" Target="https://www.mededportal.org/publication/9575" TargetMode="External"/><Relationship Id="rId1" Type="http://schemas.openxmlformats.org/officeDocument/2006/relationships/customXml" Target="../customXml/item1.xml"/><Relationship Id="rId6" Type="http://schemas.openxmlformats.org/officeDocument/2006/relationships/hyperlink" Target="https://cfm.duke.edu/files/field/attachments/Population%20Health%20Milestones%20in%20Graduate%20Medical%20Education_web_0.pdf" TargetMode="External"/><Relationship Id="rId11" Type="http://schemas.openxmlformats.org/officeDocument/2006/relationships/hyperlink" Target="https://www.practicalplaybook.org/" TargetMode="External"/><Relationship Id="rId24" Type="http://schemas.openxmlformats.org/officeDocument/2006/relationships/hyperlink" Target="https://multco.us/diversity-equity/equity-and-empowerment-lens" TargetMode="External"/><Relationship Id="rId32" Type="http://schemas.openxmlformats.org/officeDocument/2006/relationships/hyperlink" Target="http://www.stfm.org/Advocacy/AdvocacyCourses" TargetMode="External"/><Relationship Id="rId37" Type="http://schemas.openxmlformats.org/officeDocument/2006/relationships/hyperlink" Target="http://www.industrialareasfoundation.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chs/" TargetMode="External"/><Relationship Id="rId23" Type="http://schemas.openxmlformats.org/officeDocument/2006/relationships/hyperlink" Target="https://nciph.sph.unc.edu/tws/training_list/?mode=view_series&amp;subcat_id=541&amp;subcat_title=Introduction+to+Public+Health+in+North+Carolina" TargetMode="External"/><Relationship Id="rId28" Type="http://schemas.openxmlformats.org/officeDocument/2006/relationships/hyperlink" Target="http://www.unnaturalcauses.org" TargetMode="External"/><Relationship Id="rId36" Type="http://schemas.openxmlformats.org/officeDocument/2006/relationships/hyperlink" Target="http://www.who.int/hia/en/" TargetMode="External"/><Relationship Id="rId10" Type="http://schemas.openxmlformats.org/officeDocument/2006/relationships/hyperlink" Target="http://www.aptrweb.org/?page=pophealthmodules" TargetMode="External"/><Relationship Id="rId19" Type="http://schemas.openxmlformats.org/officeDocument/2006/relationships/hyperlink" Target="http://www.udsmapper.org/" TargetMode="External"/><Relationship Id="rId31" Type="http://schemas.openxmlformats.org/officeDocument/2006/relationships/hyperlink" Target="http://www.ihi.org/education/ihiopenschool/Pages/default.aspx" TargetMode="External"/><Relationship Id="rId4" Type="http://schemas.openxmlformats.org/officeDocument/2006/relationships/settings" Target="settings.xml"/><Relationship Id="rId9" Type="http://schemas.openxmlformats.org/officeDocument/2006/relationships/hyperlink" Target="http://www.teachpopulationhealth.org" TargetMode="External"/><Relationship Id="rId14" Type="http://schemas.openxmlformats.org/officeDocument/2006/relationships/hyperlink" Target="https://www.census.gov/topics/health/video.html" TargetMode="External"/><Relationship Id="rId22" Type="http://schemas.openxmlformats.org/officeDocument/2006/relationships/hyperlink" Target="https://www.cdc.gov/publichealth101/index.html" TargetMode="External"/><Relationship Id="rId27" Type="http://schemas.openxmlformats.org/officeDocument/2006/relationships/hyperlink" Target="http://www.aptrweb.org/?PHLM_03" TargetMode="External"/><Relationship Id="rId30" Type="http://schemas.openxmlformats.org/officeDocument/2006/relationships/hyperlink" Target="http://regionalequityatlas.org/home" TargetMode="External"/><Relationship Id="rId35" Type="http://schemas.openxmlformats.org/officeDocument/2006/relationships/hyperlink" Target="http://www.aafp.org/advocacy/involved/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2019-EA50-49E2-A3A7-2DD867F8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Milne</dc:creator>
  <cp:lastModifiedBy>Holly Hofkamp</cp:lastModifiedBy>
  <cp:revision>2</cp:revision>
  <cp:lastPrinted>2017-04-29T22:04:00Z</cp:lastPrinted>
  <dcterms:created xsi:type="dcterms:W3CDTF">2017-05-03T15:59:00Z</dcterms:created>
  <dcterms:modified xsi:type="dcterms:W3CDTF">2017-05-03T15:59:00Z</dcterms:modified>
</cp:coreProperties>
</file>