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057" w14:textId="3586D805" w:rsidR="00330E9F" w:rsidRPr="001A01BF" w:rsidRDefault="00330E9F" w:rsidP="00330E9F">
      <w:pPr>
        <w:spacing w:after="20"/>
        <w:jc w:val="center"/>
        <w:rPr>
          <w:b/>
          <w:bCs/>
          <w:sz w:val="24"/>
          <w:szCs w:val="24"/>
          <w:u w:val="single"/>
        </w:rPr>
      </w:pPr>
      <w:r w:rsidRPr="001A01BF">
        <w:rPr>
          <w:b/>
          <w:bCs/>
          <w:sz w:val="24"/>
          <w:szCs w:val="24"/>
          <w:u w:val="single"/>
        </w:rPr>
        <w:t>Introducing a Point</w:t>
      </w:r>
      <w:r w:rsidR="00107125" w:rsidRPr="001A01BF">
        <w:rPr>
          <w:b/>
          <w:bCs/>
          <w:sz w:val="24"/>
          <w:szCs w:val="24"/>
          <w:u w:val="single"/>
        </w:rPr>
        <w:t>-</w:t>
      </w:r>
      <w:r w:rsidRPr="001A01BF">
        <w:rPr>
          <w:b/>
          <w:bCs/>
          <w:sz w:val="24"/>
          <w:szCs w:val="24"/>
          <w:u w:val="single"/>
        </w:rPr>
        <w:t>of</w:t>
      </w:r>
      <w:r w:rsidR="00107125" w:rsidRPr="001A01BF">
        <w:rPr>
          <w:b/>
          <w:bCs/>
          <w:sz w:val="24"/>
          <w:szCs w:val="24"/>
          <w:u w:val="single"/>
        </w:rPr>
        <w:t>-</w:t>
      </w:r>
      <w:r w:rsidRPr="001A01BF">
        <w:rPr>
          <w:b/>
          <w:bCs/>
          <w:sz w:val="24"/>
          <w:szCs w:val="24"/>
          <w:u w:val="single"/>
        </w:rPr>
        <w:t xml:space="preserve">Care Tool to </w:t>
      </w:r>
      <w:r w:rsidR="0085372B">
        <w:rPr>
          <w:b/>
          <w:bCs/>
          <w:sz w:val="24"/>
          <w:szCs w:val="24"/>
          <w:u w:val="single"/>
        </w:rPr>
        <w:t>Teach</w:t>
      </w:r>
      <w:r w:rsidR="0085372B" w:rsidRPr="0085372B">
        <w:rPr>
          <w:b/>
          <w:bCs/>
          <w:sz w:val="24"/>
          <w:szCs w:val="24"/>
          <w:u w:val="single"/>
        </w:rPr>
        <w:t xml:space="preserve"> </w:t>
      </w:r>
      <w:r w:rsidR="0085372B" w:rsidRPr="001A01BF">
        <w:rPr>
          <w:b/>
          <w:bCs/>
          <w:sz w:val="24"/>
          <w:szCs w:val="24"/>
          <w:u w:val="single"/>
        </w:rPr>
        <w:t>Health Science Students</w:t>
      </w:r>
      <w:r w:rsidR="0085372B">
        <w:rPr>
          <w:b/>
          <w:bCs/>
          <w:sz w:val="24"/>
          <w:szCs w:val="24"/>
          <w:u w:val="single"/>
        </w:rPr>
        <w:t xml:space="preserve"> about Social Determin</w:t>
      </w:r>
      <w:r w:rsidR="00C92CE1">
        <w:rPr>
          <w:b/>
          <w:bCs/>
          <w:sz w:val="24"/>
          <w:szCs w:val="24"/>
          <w:u w:val="single"/>
        </w:rPr>
        <w:t>ants of Health</w:t>
      </w:r>
    </w:p>
    <w:p w14:paraId="0B701072" w14:textId="61861241" w:rsidR="00330E9F" w:rsidRPr="00FF332E" w:rsidRDefault="00330E9F" w:rsidP="00330E9F">
      <w:pPr>
        <w:spacing w:after="0"/>
        <w:jc w:val="center"/>
        <w:rPr>
          <w:sz w:val="24"/>
          <w:szCs w:val="24"/>
          <w:vertAlign w:val="superscript"/>
        </w:rPr>
      </w:pPr>
      <w:r w:rsidRPr="001A01BF">
        <w:rPr>
          <w:sz w:val="24"/>
          <w:szCs w:val="24"/>
        </w:rPr>
        <w:t xml:space="preserve">Cassandra Simpkins, PharmD, </w:t>
      </w:r>
      <w:proofErr w:type="spellStart"/>
      <w:r w:rsidRPr="001A01BF">
        <w:rPr>
          <w:sz w:val="24"/>
          <w:szCs w:val="24"/>
        </w:rPr>
        <w:t>BCPS</w:t>
      </w:r>
      <w:r w:rsidR="00186CBC" w:rsidRPr="001A01BF">
        <w:rPr>
          <w:sz w:val="24"/>
          <w:szCs w:val="24"/>
        </w:rPr>
        <w:t>,</w:t>
      </w:r>
      <w:proofErr w:type="gramStart"/>
      <w:r w:rsidR="00186CBC" w:rsidRPr="001A01BF">
        <w:rPr>
          <w:sz w:val="24"/>
          <w:szCs w:val="24"/>
          <w:vertAlign w:val="superscript"/>
        </w:rPr>
        <w:t>a</w:t>
      </w:r>
      <w:proofErr w:type="spellEnd"/>
      <w:proofErr w:type="gramEnd"/>
      <w:r w:rsidR="00186CBC" w:rsidRPr="001A01BF">
        <w:rPr>
          <w:sz w:val="24"/>
          <w:szCs w:val="24"/>
        </w:rPr>
        <w:t xml:space="preserve"> </w:t>
      </w:r>
      <w:commentRangeStart w:id="0"/>
      <w:commentRangeStart w:id="1"/>
      <w:r w:rsidRPr="001A01BF">
        <w:rPr>
          <w:sz w:val="24"/>
          <w:szCs w:val="24"/>
        </w:rPr>
        <w:t xml:space="preserve">Alexandra Garrett Bowman, </w:t>
      </w:r>
      <w:proofErr w:type="spellStart"/>
      <w:r w:rsidRPr="001A01BF">
        <w:rPr>
          <w:sz w:val="24"/>
          <w:szCs w:val="24"/>
        </w:rPr>
        <w:t>DO</w:t>
      </w:r>
      <w:r w:rsidR="00186CBC" w:rsidRPr="001A01BF">
        <w:rPr>
          <w:sz w:val="24"/>
          <w:szCs w:val="24"/>
        </w:rPr>
        <w:t>,</w:t>
      </w:r>
      <w:r w:rsidR="00186CBC" w:rsidRPr="001A01BF">
        <w:rPr>
          <w:sz w:val="24"/>
          <w:szCs w:val="24"/>
          <w:vertAlign w:val="superscript"/>
        </w:rPr>
        <w:t>b</w:t>
      </w:r>
      <w:commentRangeEnd w:id="0"/>
      <w:r w:rsidR="007176B4">
        <w:rPr>
          <w:rStyle w:val="CommentReference"/>
        </w:rPr>
        <w:commentReference w:id="0"/>
      </w:r>
      <w:commentRangeEnd w:id="1"/>
      <w:r w:rsidR="00C22981">
        <w:rPr>
          <w:rStyle w:val="CommentReference"/>
        </w:rPr>
        <w:commentReference w:id="1"/>
      </w:r>
      <w:r w:rsidR="0026451E">
        <w:rPr>
          <w:sz w:val="24"/>
          <w:szCs w:val="24"/>
          <w:vertAlign w:val="superscript"/>
        </w:rPr>
        <w:t>,c</w:t>
      </w:r>
      <w:proofErr w:type="spellEnd"/>
      <w:r w:rsidR="00186CBC" w:rsidRPr="001A01BF">
        <w:rPr>
          <w:sz w:val="24"/>
          <w:szCs w:val="24"/>
          <w:vertAlign w:val="superscript"/>
        </w:rPr>
        <w:t xml:space="preserve"> </w:t>
      </w:r>
      <w:r w:rsidRPr="001A01BF">
        <w:rPr>
          <w:sz w:val="24"/>
          <w:szCs w:val="24"/>
        </w:rPr>
        <w:t xml:space="preserve">Kathleen Bors, </w:t>
      </w:r>
      <w:proofErr w:type="spellStart"/>
      <w:r w:rsidRPr="001A01BF">
        <w:rPr>
          <w:sz w:val="24"/>
          <w:szCs w:val="24"/>
        </w:rPr>
        <w:t>MD</w:t>
      </w:r>
      <w:r w:rsidR="00186CBC" w:rsidRPr="001A01BF">
        <w:rPr>
          <w:sz w:val="24"/>
          <w:szCs w:val="24"/>
        </w:rPr>
        <w:t>,</w:t>
      </w:r>
      <w:r w:rsidR="0026451E">
        <w:rPr>
          <w:sz w:val="24"/>
          <w:szCs w:val="24"/>
          <w:vertAlign w:val="superscript"/>
        </w:rPr>
        <w:t>d</w:t>
      </w:r>
      <w:proofErr w:type="spellEnd"/>
      <w:r w:rsidR="0026451E" w:rsidRPr="001A01BF">
        <w:rPr>
          <w:sz w:val="24"/>
          <w:szCs w:val="24"/>
        </w:rPr>
        <w:t xml:space="preserve"> </w:t>
      </w:r>
      <w:r w:rsidR="00A33582" w:rsidRPr="001A01BF">
        <w:rPr>
          <w:sz w:val="24"/>
          <w:szCs w:val="24"/>
        </w:rPr>
        <w:t>Lisa Calderwood</w:t>
      </w:r>
      <w:r w:rsidR="004A729A" w:rsidRPr="001A01BF">
        <w:rPr>
          <w:sz w:val="24"/>
          <w:szCs w:val="24"/>
        </w:rPr>
        <w:t xml:space="preserve">, </w:t>
      </w:r>
      <w:r w:rsidR="0026451E" w:rsidRPr="001A01BF">
        <w:rPr>
          <w:sz w:val="24"/>
          <w:szCs w:val="24"/>
        </w:rPr>
        <w:t>MPH</w:t>
      </w:r>
      <w:r w:rsidR="00F31829">
        <w:rPr>
          <w:sz w:val="24"/>
          <w:szCs w:val="24"/>
        </w:rPr>
        <w:t xml:space="preserve"> </w:t>
      </w:r>
      <w:r w:rsidR="0026451E">
        <w:rPr>
          <w:sz w:val="24"/>
          <w:szCs w:val="24"/>
          <w:vertAlign w:val="superscript"/>
        </w:rPr>
        <w:t>c</w:t>
      </w:r>
    </w:p>
    <w:p w14:paraId="65339C09" w14:textId="560CA78E" w:rsidR="00330E9F" w:rsidRPr="001A01BF" w:rsidRDefault="00186CBC" w:rsidP="00330E9F">
      <w:pPr>
        <w:spacing w:after="0"/>
        <w:jc w:val="center"/>
        <w:rPr>
          <w:sz w:val="24"/>
          <w:szCs w:val="24"/>
        </w:rPr>
      </w:pPr>
      <w:r w:rsidRPr="001A01BF">
        <w:rPr>
          <w:sz w:val="24"/>
          <w:szCs w:val="24"/>
          <w:vertAlign w:val="superscript"/>
        </w:rPr>
        <w:t>a</w:t>
      </w:r>
      <w:r w:rsidRPr="001A01BF">
        <w:rPr>
          <w:sz w:val="24"/>
          <w:szCs w:val="24"/>
        </w:rPr>
        <w:t xml:space="preserve"> </w:t>
      </w:r>
      <w:r w:rsidR="00330E9F" w:rsidRPr="001A01BF">
        <w:rPr>
          <w:sz w:val="24"/>
          <w:szCs w:val="24"/>
        </w:rPr>
        <w:t>Department of Pharmacy| West Virginia University School of Pharmacy</w:t>
      </w:r>
    </w:p>
    <w:p w14:paraId="07F5EF12" w14:textId="30A21F8F" w:rsidR="00330E9F" w:rsidRDefault="00186CBC" w:rsidP="00330E9F">
      <w:pPr>
        <w:spacing w:after="0"/>
        <w:jc w:val="center"/>
        <w:rPr>
          <w:sz w:val="24"/>
          <w:szCs w:val="24"/>
        </w:rPr>
      </w:pPr>
      <w:r w:rsidRPr="001A01BF">
        <w:rPr>
          <w:sz w:val="24"/>
          <w:szCs w:val="24"/>
          <w:vertAlign w:val="superscript"/>
        </w:rPr>
        <w:t xml:space="preserve">b </w:t>
      </w:r>
      <w:r w:rsidR="00330E9F" w:rsidRPr="001A01BF">
        <w:rPr>
          <w:sz w:val="24"/>
          <w:szCs w:val="24"/>
        </w:rPr>
        <w:t xml:space="preserve">Department of Family Medicine| West Virginia University School of Medicine </w:t>
      </w:r>
    </w:p>
    <w:p w14:paraId="6577F113" w14:textId="4DCBF7C5" w:rsidR="0026451E" w:rsidRPr="001A01BF" w:rsidRDefault="0026451E" w:rsidP="002645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c</w:t>
      </w:r>
      <w:r w:rsidRPr="001A01BF">
        <w:rPr>
          <w:sz w:val="24"/>
          <w:szCs w:val="24"/>
          <w:vertAlign w:val="superscript"/>
        </w:rPr>
        <w:t xml:space="preserve"> </w:t>
      </w:r>
      <w:r w:rsidRPr="001A01BF">
        <w:rPr>
          <w:sz w:val="24"/>
          <w:szCs w:val="24"/>
        </w:rPr>
        <w:t>CAMC Institute for Academic Medicine</w:t>
      </w:r>
    </w:p>
    <w:p w14:paraId="00E14B4D" w14:textId="39BB7B31" w:rsidR="00330E9F" w:rsidRPr="001A01BF" w:rsidRDefault="00982B5B" w:rsidP="00330E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d</w:t>
      </w:r>
      <w:r w:rsidRPr="001A01BF">
        <w:rPr>
          <w:sz w:val="24"/>
          <w:szCs w:val="24"/>
        </w:rPr>
        <w:t xml:space="preserve"> </w:t>
      </w:r>
      <w:r w:rsidR="00330E9F" w:rsidRPr="001A01BF">
        <w:rPr>
          <w:sz w:val="24"/>
          <w:szCs w:val="24"/>
        </w:rPr>
        <w:t xml:space="preserve">Department of </w:t>
      </w:r>
      <w:r w:rsidR="00472432">
        <w:rPr>
          <w:sz w:val="24"/>
          <w:szCs w:val="24"/>
        </w:rPr>
        <w:t>Family Medicine</w:t>
      </w:r>
      <w:r w:rsidR="00330E9F" w:rsidRPr="001A01BF">
        <w:rPr>
          <w:sz w:val="24"/>
          <w:szCs w:val="24"/>
        </w:rPr>
        <w:t xml:space="preserve">| West Virginia University School of </w:t>
      </w:r>
      <w:r w:rsidR="00472432">
        <w:rPr>
          <w:sz w:val="24"/>
          <w:szCs w:val="24"/>
        </w:rPr>
        <w:t>Medicine</w:t>
      </w:r>
    </w:p>
    <w:p w14:paraId="21686FFA" w14:textId="09B2ECAE" w:rsidR="00E75CA9" w:rsidRPr="001A01BF" w:rsidRDefault="00E75CA9" w:rsidP="007176B4">
      <w:pPr>
        <w:spacing w:after="0"/>
        <w:jc w:val="center"/>
        <w:rPr>
          <w:sz w:val="24"/>
          <w:szCs w:val="24"/>
        </w:rPr>
      </w:pPr>
    </w:p>
    <w:p w14:paraId="69F1E671" w14:textId="77777777" w:rsidR="00472432" w:rsidRPr="007176B4" w:rsidRDefault="006C6E1D">
      <w:pPr>
        <w:rPr>
          <w:b/>
          <w:bCs/>
          <w:sz w:val="24"/>
          <w:szCs w:val="24"/>
        </w:rPr>
      </w:pPr>
      <w:r w:rsidRPr="007176B4">
        <w:rPr>
          <w:b/>
          <w:bCs/>
          <w:sz w:val="24"/>
          <w:szCs w:val="24"/>
        </w:rPr>
        <w:t xml:space="preserve">Corresponding Author: </w:t>
      </w:r>
    </w:p>
    <w:p w14:paraId="4196EEF7" w14:textId="6DAFBDDC" w:rsidR="006C6E1D" w:rsidRPr="008F0960" w:rsidRDefault="006C6E1D" w:rsidP="00472432">
      <w:pPr>
        <w:rPr>
          <w:sz w:val="24"/>
          <w:szCs w:val="24"/>
        </w:rPr>
      </w:pPr>
      <w:r w:rsidRPr="007176B4">
        <w:rPr>
          <w:sz w:val="24"/>
          <w:szCs w:val="24"/>
        </w:rPr>
        <w:t>Name</w:t>
      </w:r>
      <w:r w:rsidR="00472432">
        <w:rPr>
          <w:sz w:val="24"/>
          <w:szCs w:val="24"/>
        </w:rPr>
        <w:t>: Cassandra Simpkins, PharmD, BCPS</w:t>
      </w:r>
    </w:p>
    <w:p w14:paraId="53CDFD3B" w14:textId="1B4E2E23" w:rsidR="006C6E1D" w:rsidRPr="008F0960" w:rsidRDefault="006C6E1D" w:rsidP="008F0960">
      <w:pPr>
        <w:rPr>
          <w:sz w:val="24"/>
          <w:szCs w:val="24"/>
        </w:rPr>
      </w:pPr>
      <w:r w:rsidRPr="008F0960">
        <w:rPr>
          <w:sz w:val="24"/>
          <w:szCs w:val="24"/>
        </w:rPr>
        <w:t>Address</w:t>
      </w:r>
      <w:r w:rsidR="00472432">
        <w:rPr>
          <w:sz w:val="24"/>
          <w:szCs w:val="24"/>
        </w:rPr>
        <w:t>: M</w:t>
      </w:r>
      <w:commentRangeStart w:id="2"/>
      <w:r w:rsidR="00472432">
        <w:rPr>
          <w:sz w:val="24"/>
          <w:szCs w:val="24"/>
        </w:rPr>
        <w:t>organtown, WV</w:t>
      </w:r>
      <w:commentRangeEnd w:id="2"/>
      <w:r w:rsidR="00954A77">
        <w:rPr>
          <w:rStyle w:val="CommentReference"/>
        </w:rPr>
        <w:commentReference w:id="2"/>
      </w:r>
    </w:p>
    <w:p w14:paraId="2207B3C2" w14:textId="6A77CC36" w:rsidR="006C6E1D" w:rsidRPr="006F5C16" w:rsidRDefault="006C6E1D" w:rsidP="008F0960">
      <w:pPr>
        <w:rPr>
          <w:sz w:val="24"/>
          <w:szCs w:val="24"/>
        </w:rPr>
      </w:pPr>
      <w:r w:rsidRPr="008F0960">
        <w:rPr>
          <w:sz w:val="24"/>
          <w:szCs w:val="24"/>
        </w:rPr>
        <w:t>Telephone number</w:t>
      </w:r>
      <w:r w:rsidR="00472432">
        <w:rPr>
          <w:sz w:val="24"/>
          <w:szCs w:val="24"/>
        </w:rPr>
        <w:t>: 304-347-1296</w:t>
      </w:r>
    </w:p>
    <w:p w14:paraId="49A82801" w14:textId="4C6EE38D" w:rsidR="006C6E1D" w:rsidRDefault="006C6E1D" w:rsidP="00472432">
      <w:pPr>
        <w:rPr>
          <w:sz w:val="24"/>
          <w:szCs w:val="24"/>
        </w:rPr>
      </w:pPr>
      <w:r w:rsidRPr="006F5C16">
        <w:rPr>
          <w:sz w:val="24"/>
          <w:szCs w:val="24"/>
        </w:rPr>
        <w:t>Email address</w:t>
      </w:r>
      <w:r w:rsidR="00472432">
        <w:rPr>
          <w:sz w:val="24"/>
          <w:szCs w:val="24"/>
        </w:rPr>
        <w:t xml:space="preserve">: </w:t>
      </w:r>
      <w:hyperlink r:id="rId11" w:history="1">
        <w:r w:rsidR="00472432" w:rsidRPr="004B0DED">
          <w:rPr>
            <w:rStyle w:val="Hyperlink"/>
            <w:sz w:val="24"/>
            <w:szCs w:val="24"/>
          </w:rPr>
          <w:t>Cassandra.Simpkins@hsc.wvu.edu</w:t>
        </w:r>
      </w:hyperlink>
    </w:p>
    <w:p w14:paraId="2E3594CE" w14:textId="77777777" w:rsidR="00472432" w:rsidRDefault="00472432" w:rsidP="00472432">
      <w:pPr>
        <w:rPr>
          <w:sz w:val="24"/>
          <w:szCs w:val="24"/>
        </w:rPr>
      </w:pPr>
    </w:p>
    <w:p w14:paraId="145F07F2" w14:textId="4A474EA8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Name</w:t>
      </w:r>
      <w:r>
        <w:rPr>
          <w:sz w:val="24"/>
          <w:szCs w:val="24"/>
        </w:rPr>
        <w:t>: Alexandra Garrett Bowman, DO</w:t>
      </w:r>
    </w:p>
    <w:p w14:paraId="1CC08610" w14:textId="2E6B7D89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 w:rsidR="00436590" w:rsidRPr="008F0960">
        <w:rPr>
          <w:sz w:val="24"/>
          <w:szCs w:val="24"/>
        </w:rPr>
        <w:t>3200 MacCorkle Ave SE, 5th Floor; Robert C Byrd Clinical Teaching Center; Charleston, WV 25304</w:t>
      </w:r>
    </w:p>
    <w:p w14:paraId="20E3E1AA" w14:textId="4F9A5512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: </w:t>
      </w:r>
      <w:r w:rsidR="00436590" w:rsidRPr="008F0960">
        <w:rPr>
          <w:sz w:val="24"/>
          <w:szCs w:val="24"/>
        </w:rPr>
        <w:t>304-388-4630</w:t>
      </w:r>
    </w:p>
    <w:p w14:paraId="61550608" w14:textId="0EE2D109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: </w:t>
      </w:r>
      <w:r w:rsidR="00436590">
        <w:rPr>
          <w:sz w:val="24"/>
          <w:szCs w:val="24"/>
        </w:rPr>
        <w:t>Alexandra.Bowman@vandaliahealth.org</w:t>
      </w:r>
    </w:p>
    <w:p w14:paraId="0D65569A" w14:textId="77777777" w:rsidR="00472432" w:rsidRDefault="00472432" w:rsidP="00472432">
      <w:pPr>
        <w:rPr>
          <w:sz w:val="24"/>
          <w:szCs w:val="24"/>
        </w:rPr>
      </w:pPr>
    </w:p>
    <w:p w14:paraId="2A59FC78" w14:textId="6E5CDF0D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Name</w:t>
      </w:r>
      <w:r>
        <w:rPr>
          <w:sz w:val="24"/>
          <w:szCs w:val="24"/>
        </w:rPr>
        <w:t>: Kathleen Bors, MD</w:t>
      </w:r>
      <w:r w:rsidR="008F0960">
        <w:rPr>
          <w:sz w:val="24"/>
          <w:szCs w:val="24"/>
        </w:rPr>
        <w:t>, FAAFP</w:t>
      </w:r>
    </w:p>
    <w:p w14:paraId="593746AF" w14:textId="33DC57BE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 w:rsidR="008F0960" w:rsidRPr="008F0960">
        <w:rPr>
          <w:sz w:val="24"/>
          <w:szCs w:val="24"/>
        </w:rPr>
        <w:t>3200 MacCorkle Ave SE, 5th Floor; Robert C Byrd Clinical Teaching Center; Charleston, WV 25304</w:t>
      </w:r>
    </w:p>
    <w:p w14:paraId="389F7F2B" w14:textId="4FF138E4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: </w:t>
      </w:r>
      <w:r w:rsidR="008F0960" w:rsidRPr="008F0960">
        <w:rPr>
          <w:sz w:val="24"/>
          <w:szCs w:val="24"/>
        </w:rPr>
        <w:t>304-388-4630</w:t>
      </w:r>
    </w:p>
    <w:p w14:paraId="59DE550F" w14:textId="624D90FF" w:rsidR="00472432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: </w:t>
      </w:r>
      <w:r w:rsidR="008F0960" w:rsidRPr="008F0960">
        <w:rPr>
          <w:sz w:val="24"/>
          <w:szCs w:val="24"/>
        </w:rPr>
        <w:t>kbors@hsc.wvu.edu</w:t>
      </w:r>
    </w:p>
    <w:p w14:paraId="6FFDAD22" w14:textId="77777777" w:rsidR="00F16989" w:rsidRDefault="00F16989" w:rsidP="00F16989">
      <w:pPr>
        <w:rPr>
          <w:sz w:val="24"/>
          <w:szCs w:val="24"/>
        </w:rPr>
      </w:pPr>
    </w:p>
    <w:p w14:paraId="6DF29598" w14:textId="257F88CE" w:rsidR="00F16989" w:rsidRPr="00EE11E9" w:rsidRDefault="00F16989" w:rsidP="00F16989">
      <w:pPr>
        <w:rPr>
          <w:sz w:val="24"/>
          <w:szCs w:val="24"/>
        </w:rPr>
      </w:pPr>
      <w:r w:rsidRPr="00EE11E9">
        <w:rPr>
          <w:sz w:val="24"/>
          <w:szCs w:val="24"/>
        </w:rPr>
        <w:t>Name</w:t>
      </w:r>
      <w:r>
        <w:rPr>
          <w:sz w:val="24"/>
          <w:szCs w:val="24"/>
        </w:rPr>
        <w:t>: Meghan Allwes, MD</w:t>
      </w:r>
    </w:p>
    <w:p w14:paraId="0E61E341" w14:textId="4B375E15" w:rsidR="00F16989" w:rsidRPr="00EE11E9" w:rsidRDefault="00F16989" w:rsidP="00F16989">
      <w:pPr>
        <w:rPr>
          <w:sz w:val="24"/>
          <w:szCs w:val="24"/>
        </w:rPr>
      </w:pPr>
      <w:r w:rsidRPr="00EE11E9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 w:rsidR="00436590" w:rsidRPr="008F0960">
        <w:rPr>
          <w:sz w:val="24"/>
          <w:szCs w:val="24"/>
        </w:rPr>
        <w:t>3200 MacCorkle Ave SE, 5th Floor; Robert C Byrd Clinical Teaching Center; Charleston, WV 25304</w:t>
      </w:r>
    </w:p>
    <w:p w14:paraId="5C57F1FA" w14:textId="7AC02C4D" w:rsidR="00F16989" w:rsidRPr="00EE11E9" w:rsidRDefault="00F16989" w:rsidP="00F16989">
      <w:pPr>
        <w:rPr>
          <w:sz w:val="24"/>
          <w:szCs w:val="24"/>
        </w:rPr>
      </w:pPr>
      <w:r w:rsidRPr="00EE11E9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: </w:t>
      </w:r>
      <w:r w:rsidR="00436590">
        <w:rPr>
          <w:sz w:val="24"/>
          <w:szCs w:val="24"/>
        </w:rPr>
        <w:t>304-388-4630</w:t>
      </w:r>
    </w:p>
    <w:p w14:paraId="4D86924C" w14:textId="17126158" w:rsidR="00F16989" w:rsidRPr="00EE11E9" w:rsidRDefault="00F16989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lastRenderedPageBreak/>
        <w:t>Email addres</w:t>
      </w:r>
      <w:r>
        <w:rPr>
          <w:sz w:val="24"/>
          <w:szCs w:val="24"/>
        </w:rPr>
        <w:t>s:</w:t>
      </w:r>
      <w:r w:rsidR="00436590">
        <w:rPr>
          <w:sz w:val="24"/>
          <w:szCs w:val="24"/>
        </w:rPr>
        <w:t xml:space="preserve"> </w:t>
      </w:r>
      <w:r w:rsidR="00436590" w:rsidRPr="00436590">
        <w:rPr>
          <w:sz w:val="24"/>
          <w:szCs w:val="24"/>
        </w:rPr>
        <w:t>Meghan.Allwes@vandaliahealth.org</w:t>
      </w:r>
    </w:p>
    <w:p w14:paraId="7FA65B3C" w14:textId="77777777" w:rsidR="00472432" w:rsidRDefault="00472432" w:rsidP="00472432">
      <w:pPr>
        <w:rPr>
          <w:sz w:val="24"/>
          <w:szCs w:val="24"/>
        </w:rPr>
      </w:pPr>
    </w:p>
    <w:p w14:paraId="067C1429" w14:textId="64F31E40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Name</w:t>
      </w:r>
      <w:r>
        <w:rPr>
          <w:sz w:val="24"/>
          <w:szCs w:val="24"/>
        </w:rPr>
        <w:t>: Lisa Calderwood, MPH</w:t>
      </w:r>
    </w:p>
    <w:p w14:paraId="611E16D3" w14:textId="53CA157B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207EC2">
        <w:rPr>
          <w:sz w:val="24"/>
          <w:szCs w:val="24"/>
        </w:rPr>
        <w:t xml:space="preserve"> CAMC Center for Learning and Research, 3044 Chesterfield Avenue, Charleston WV 25304</w:t>
      </w:r>
    </w:p>
    <w:p w14:paraId="5A5E83C1" w14:textId="64DA6FAC" w:rsidR="00472432" w:rsidRPr="00EE11E9" w:rsidRDefault="00472432" w:rsidP="00472432">
      <w:pPr>
        <w:rPr>
          <w:sz w:val="24"/>
          <w:szCs w:val="24"/>
        </w:rPr>
      </w:pPr>
      <w:r w:rsidRPr="00EE11E9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: </w:t>
      </w:r>
      <w:r w:rsidR="00207EC2">
        <w:rPr>
          <w:sz w:val="24"/>
          <w:szCs w:val="24"/>
        </w:rPr>
        <w:t>304-388-9935</w:t>
      </w:r>
    </w:p>
    <w:p w14:paraId="76BBF97E" w14:textId="39FEF594" w:rsidR="00472432" w:rsidRPr="00AA199D" w:rsidRDefault="00472432" w:rsidP="00AA199D">
      <w:pPr>
        <w:rPr>
          <w:sz w:val="24"/>
          <w:szCs w:val="24"/>
        </w:rPr>
      </w:pPr>
      <w:r w:rsidRPr="00EE11E9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: </w:t>
      </w:r>
      <w:hyperlink r:id="rId12" w:history="1">
        <w:r w:rsidR="00207EC2" w:rsidRPr="00257B2B">
          <w:rPr>
            <w:rStyle w:val="Hyperlink"/>
            <w:sz w:val="24"/>
            <w:szCs w:val="24"/>
          </w:rPr>
          <w:t>lisa.calderwood@vandaliahealth.org</w:t>
        </w:r>
      </w:hyperlink>
      <w:r w:rsidR="00207EC2">
        <w:rPr>
          <w:sz w:val="24"/>
          <w:szCs w:val="24"/>
        </w:rPr>
        <w:t xml:space="preserve"> </w:t>
      </w:r>
    </w:p>
    <w:p w14:paraId="0C82F8C8" w14:textId="77777777" w:rsidR="006C6E1D" w:rsidRPr="001A01BF" w:rsidRDefault="006C6E1D" w:rsidP="006C6E1D">
      <w:pPr>
        <w:ind w:left="2340"/>
        <w:rPr>
          <w:color w:val="FF0000"/>
          <w:sz w:val="24"/>
          <w:szCs w:val="24"/>
        </w:rPr>
      </w:pPr>
    </w:p>
    <w:p w14:paraId="38485C11" w14:textId="0D1D6DAD" w:rsidR="006C6E1D" w:rsidRPr="00717325" w:rsidRDefault="006C6E1D" w:rsidP="006C6E1D">
      <w:pPr>
        <w:rPr>
          <w:color w:val="FF0000"/>
          <w:sz w:val="24"/>
          <w:szCs w:val="24"/>
        </w:rPr>
      </w:pPr>
      <w:r w:rsidRPr="00AA199D">
        <w:rPr>
          <w:b/>
          <w:bCs/>
          <w:sz w:val="24"/>
          <w:szCs w:val="24"/>
        </w:rPr>
        <w:t>Date of Submission:</w:t>
      </w:r>
      <w:r w:rsidR="00DF3822">
        <w:rPr>
          <w:b/>
          <w:bCs/>
          <w:color w:val="FF0000"/>
          <w:sz w:val="24"/>
          <w:szCs w:val="24"/>
        </w:rPr>
        <w:t xml:space="preserve"> NEEDED</w:t>
      </w:r>
    </w:p>
    <w:p w14:paraId="4C2A29C1" w14:textId="3214E69E" w:rsidR="00926862" w:rsidRPr="00472432" w:rsidRDefault="00926862" w:rsidP="00472432">
      <w:pPr>
        <w:rPr>
          <w:rFonts w:cstheme="minorHAnsi"/>
          <w:sz w:val="24"/>
          <w:szCs w:val="24"/>
        </w:rPr>
      </w:pPr>
      <w:commentRangeStart w:id="3"/>
      <w:commentRangeStart w:id="4"/>
      <w:r w:rsidRPr="00AA199D">
        <w:rPr>
          <w:b/>
          <w:bCs/>
          <w:sz w:val="24"/>
          <w:szCs w:val="24"/>
        </w:rPr>
        <w:t>Word count</w:t>
      </w:r>
      <w:commentRangeEnd w:id="3"/>
      <w:r w:rsidRPr="00AA199D">
        <w:rPr>
          <w:rStyle w:val="CommentReference"/>
          <w:b/>
          <w:bCs/>
          <w:sz w:val="24"/>
          <w:szCs w:val="24"/>
        </w:rPr>
        <w:commentReference w:id="3"/>
      </w:r>
      <w:commentRangeEnd w:id="4"/>
      <w:r w:rsidR="00D9735C">
        <w:rPr>
          <w:rStyle w:val="CommentReference"/>
        </w:rPr>
        <w:commentReference w:id="4"/>
      </w:r>
      <w:r w:rsidRPr="001A01BF">
        <w:rPr>
          <w:sz w:val="24"/>
          <w:szCs w:val="24"/>
        </w:rPr>
        <w:t xml:space="preserve">: </w:t>
      </w:r>
      <w:r w:rsidR="00DF3822" w:rsidRPr="00717325">
        <w:rPr>
          <w:sz w:val="24"/>
          <w:szCs w:val="24"/>
        </w:rPr>
        <w:t>1000</w:t>
      </w:r>
    </w:p>
    <w:p w14:paraId="3845A67C" w14:textId="2D5476DE" w:rsidR="00926862" w:rsidRPr="001A01BF" w:rsidRDefault="00BF66B6" w:rsidP="006C6E1D">
      <w:pPr>
        <w:rPr>
          <w:sz w:val="24"/>
          <w:szCs w:val="24"/>
        </w:rPr>
      </w:pPr>
      <w:r w:rsidRPr="00721EE1">
        <w:rPr>
          <w:b/>
          <w:bCs/>
          <w:sz w:val="24"/>
          <w:szCs w:val="24"/>
        </w:rPr>
        <w:t>Presentations</w:t>
      </w:r>
      <w:r w:rsidRPr="001A01BF">
        <w:rPr>
          <w:sz w:val="24"/>
          <w:szCs w:val="24"/>
        </w:rPr>
        <w:t>: None</w:t>
      </w:r>
    </w:p>
    <w:p w14:paraId="041EBFF7" w14:textId="0B761E72" w:rsidR="00BF66B6" w:rsidRPr="001A01BF" w:rsidRDefault="00BF66B6" w:rsidP="006C6E1D">
      <w:pPr>
        <w:rPr>
          <w:sz w:val="24"/>
          <w:szCs w:val="24"/>
        </w:rPr>
      </w:pPr>
      <w:r w:rsidRPr="006F5C16">
        <w:rPr>
          <w:b/>
          <w:bCs/>
          <w:sz w:val="24"/>
          <w:szCs w:val="24"/>
        </w:rPr>
        <w:t>Conflict of Interest</w:t>
      </w:r>
      <w:r w:rsidRPr="001A01BF">
        <w:rPr>
          <w:sz w:val="24"/>
          <w:szCs w:val="24"/>
        </w:rPr>
        <w:t xml:space="preserve">: </w:t>
      </w:r>
      <w:r w:rsidR="00472432" w:rsidRPr="0071763B">
        <w:rPr>
          <w:rFonts w:cstheme="minorHAnsi"/>
          <w:sz w:val="24"/>
          <w:szCs w:val="24"/>
        </w:rPr>
        <w:t xml:space="preserve">None of the </w:t>
      </w:r>
      <w:proofErr w:type="gramStart"/>
      <w:r w:rsidR="00472432" w:rsidRPr="0071763B">
        <w:rPr>
          <w:rFonts w:cstheme="minorHAnsi"/>
          <w:sz w:val="24"/>
          <w:szCs w:val="24"/>
        </w:rPr>
        <w:t>aforementioned authors</w:t>
      </w:r>
      <w:proofErr w:type="gramEnd"/>
      <w:r w:rsidR="00472432" w:rsidRPr="0071763B">
        <w:rPr>
          <w:rFonts w:cstheme="minorHAnsi"/>
          <w:sz w:val="24"/>
          <w:szCs w:val="24"/>
        </w:rPr>
        <w:t xml:space="preserve"> have a conflict of interest to disclose.</w:t>
      </w:r>
    </w:p>
    <w:p w14:paraId="10A5E207" w14:textId="77777777" w:rsidR="00BC02C1" w:rsidRPr="001A01BF" w:rsidRDefault="00BC02C1" w:rsidP="006C6E1D">
      <w:pPr>
        <w:rPr>
          <w:sz w:val="24"/>
          <w:szCs w:val="24"/>
        </w:rPr>
      </w:pPr>
    </w:p>
    <w:p w14:paraId="10525BD7" w14:textId="4DD4F5C7" w:rsidR="00BF66B6" w:rsidRPr="008A2E89" w:rsidRDefault="00BF66B6" w:rsidP="006C6E1D">
      <w:pPr>
        <w:rPr>
          <w:sz w:val="24"/>
          <w:szCs w:val="24"/>
        </w:rPr>
      </w:pPr>
      <w:r w:rsidRPr="008A2E89">
        <w:rPr>
          <w:b/>
          <w:bCs/>
          <w:sz w:val="24"/>
          <w:szCs w:val="24"/>
        </w:rPr>
        <w:t>Key words</w:t>
      </w:r>
      <w:r w:rsidRPr="008A2E89">
        <w:rPr>
          <w:sz w:val="24"/>
          <w:szCs w:val="24"/>
        </w:rPr>
        <w:t xml:space="preserve">: </w:t>
      </w:r>
      <w:r w:rsidR="009E016F" w:rsidRPr="008A2E89">
        <w:rPr>
          <w:sz w:val="24"/>
          <w:szCs w:val="24"/>
        </w:rPr>
        <w:t>Social Determinants of Health</w:t>
      </w:r>
      <w:r w:rsidR="009E2834" w:rsidRPr="008A2E89">
        <w:rPr>
          <w:sz w:val="24"/>
          <w:szCs w:val="24"/>
        </w:rPr>
        <w:t xml:space="preserve">; </w:t>
      </w:r>
      <w:r w:rsidR="00962601" w:rsidRPr="008A2E89">
        <w:rPr>
          <w:sz w:val="24"/>
          <w:szCs w:val="24"/>
        </w:rPr>
        <w:t xml:space="preserve">Graduate Medical </w:t>
      </w:r>
      <w:r w:rsidR="00454569" w:rsidRPr="008A2E89">
        <w:rPr>
          <w:sz w:val="24"/>
          <w:szCs w:val="24"/>
        </w:rPr>
        <w:t>Education</w:t>
      </w:r>
      <w:r w:rsidR="006A5DA4" w:rsidRPr="008A2E89">
        <w:rPr>
          <w:sz w:val="24"/>
          <w:szCs w:val="24"/>
        </w:rPr>
        <w:t xml:space="preserve">; </w:t>
      </w:r>
      <w:r w:rsidR="009D60FB" w:rsidRPr="008A2E89">
        <w:rPr>
          <w:sz w:val="24"/>
          <w:szCs w:val="24"/>
        </w:rPr>
        <w:t xml:space="preserve">Graduate Pharmacy Education; </w:t>
      </w:r>
      <w:r w:rsidR="000926C8" w:rsidRPr="00717325">
        <w:rPr>
          <w:sz w:val="24"/>
          <w:szCs w:val="24"/>
        </w:rPr>
        <w:t>Health Knowledge, Attitudes, Practice.</w:t>
      </w:r>
    </w:p>
    <w:p w14:paraId="76C6539D" w14:textId="77777777" w:rsidR="00472432" w:rsidRDefault="00472432" w:rsidP="00FF332E">
      <w:pPr>
        <w:jc w:val="both"/>
        <w:rPr>
          <w:b/>
          <w:bCs/>
          <w:sz w:val="24"/>
          <w:szCs w:val="24"/>
        </w:rPr>
      </w:pPr>
    </w:p>
    <w:p w14:paraId="5F50393C" w14:textId="0D4ADB9D" w:rsidR="008A2E89" w:rsidRDefault="008A2E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EF0270E" w14:textId="3DD1A0F3" w:rsidR="00330E9F" w:rsidRPr="00717325" w:rsidRDefault="00330E9F" w:rsidP="00717325">
      <w:pPr>
        <w:jc w:val="center"/>
        <w:rPr>
          <w:b/>
          <w:bCs/>
          <w:sz w:val="24"/>
          <w:szCs w:val="24"/>
          <w:u w:val="single"/>
        </w:rPr>
      </w:pPr>
      <w:r w:rsidRPr="00717325">
        <w:rPr>
          <w:b/>
          <w:bCs/>
          <w:sz w:val="24"/>
          <w:szCs w:val="24"/>
          <w:u w:val="single"/>
        </w:rPr>
        <w:lastRenderedPageBreak/>
        <w:t>ABSTRACT</w:t>
      </w:r>
    </w:p>
    <w:p w14:paraId="128AA36D" w14:textId="66E00859" w:rsidR="001A01BF" w:rsidRPr="001A01BF" w:rsidRDefault="004B5CAD" w:rsidP="00BC02C1">
      <w:pPr>
        <w:spacing w:line="480" w:lineRule="auto"/>
        <w:rPr>
          <w:sz w:val="24"/>
          <w:szCs w:val="24"/>
        </w:rPr>
      </w:pPr>
      <w:r w:rsidRPr="00FF332E">
        <w:rPr>
          <w:b/>
          <w:bCs/>
          <w:sz w:val="24"/>
          <w:szCs w:val="24"/>
        </w:rPr>
        <w:t>Introduction:</w:t>
      </w:r>
      <w:r w:rsidRPr="001A01BF">
        <w:rPr>
          <w:sz w:val="24"/>
          <w:szCs w:val="24"/>
        </w:rPr>
        <w:t xml:space="preserve"> Social determinants of health (SDoH) </w:t>
      </w:r>
      <w:r w:rsidR="002E17C2">
        <w:rPr>
          <w:sz w:val="24"/>
          <w:szCs w:val="24"/>
        </w:rPr>
        <w:t>are</w:t>
      </w:r>
      <w:r w:rsidRPr="001A01BF">
        <w:rPr>
          <w:sz w:val="24"/>
          <w:szCs w:val="24"/>
        </w:rPr>
        <w:t xml:space="preserve"> recognized as modifiable driver</w:t>
      </w:r>
      <w:r w:rsidR="006B04A5">
        <w:rPr>
          <w:sz w:val="24"/>
          <w:szCs w:val="24"/>
        </w:rPr>
        <w:t>s</w:t>
      </w:r>
      <w:r w:rsidRPr="001A01BF">
        <w:rPr>
          <w:sz w:val="24"/>
          <w:szCs w:val="24"/>
        </w:rPr>
        <w:t xml:space="preserve"> of optimal health and </w:t>
      </w:r>
      <w:r w:rsidR="001A01BF" w:rsidRPr="001A01BF">
        <w:rPr>
          <w:sz w:val="24"/>
          <w:szCs w:val="24"/>
        </w:rPr>
        <w:t xml:space="preserve">an </w:t>
      </w:r>
      <w:r w:rsidRPr="001A01BF">
        <w:rPr>
          <w:sz w:val="24"/>
          <w:szCs w:val="24"/>
        </w:rPr>
        <w:t xml:space="preserve">opportunity to achieve health equity, yet many providers still experience barriers to addressing </w:t>
      </w:r>
      <w:r w:rsidR="001A01BF">
        <w:rPr>
          <w:sz w:val="24"/>
          <w:szCs w:val="24"/>
        </w:rPr>
        <w:t>their patient</w:t>
      </w:r>
      <w:r w:rsidR="00A26B86">
        <w:rPr>
          <w:sz w:val="24"/>
          <w:szCs w:val="24"/>
        </w:rPr>
        <w:t>s’</w:t>
      </w:r>
      <w:r w:rsidR="001A01BF" w:rsidRPr="001A01BF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>social needs. To help connect patients to supportive resources, the A</w:t>
      </w:r>
      <w:r w:rsidR="00AC3FF5">
        <w:rPr>
          <w:sz w:val="24"/>
          <w:szCs w:val="24"/>
        </w:rPr>
        <w:t xml:space="preserve">merican </w:t>
      </w:r>
      <w:r w:rsidR="007F1410">
        <w:rPr>
          <w:sz w:val="24"/>
          <w:szCs w:val="24"/>
        </w:rPr>
        <w:t>Academy</w:t>
      </w:r>
      <w:r w:rsidR="00AC3FF5">
        <w:rPr>
          <w:sz w:val="24"/>
          <w:szCs w:val="24"/>
        </w:rPr>
        <w:t xml:space="preserve"> of Family Physicians </w:t>
      </w:r>
      <w:r w:rsidRPr="001A01BF">
        <w:rPr>
          <w:sz w:val="24"/>
          <w:szCs w:val="24"/>
        </w:rPr>
        <w:t xml:space="preserve">developed </w:t>
      </w:r>
      <w:r w:rsidR="00E06B95" w:rsidRPr="001A01BF">
        <w:rPr>
          <w:sz w:val="24"/>
          <w:szCs w:val="24"/>
        </w:rPr>
        <w:t xml:space="preserve">the </w:t>
      </w:r>
      <w:r w:rsidRPr="001A01BF">
        <w:rPr>
          <w:sz w:val="24"/>
          <w:szCs w:val="24"/>
        </w:rPr>
        <w:t xml:space="preserve">Neighborhood Navigator Tool. </w:t>
      </w:r>
      <w:r w:rsidR="001A01BF" w:rsidRPr="00FF332E">
        <w:rPr>
          <w:sz w:val="24"/>
          <w:szCs w:val="24"/>
        </w:rPr>
        <w:t>This study examine</w:t>
      </w:r>
      <w:r w:rsidR="006B04A5">
        <w:rPr>
          <w:sz w:val="24"/>
          <w:szCs w:val="24"/>
        </w:rPr>
        <w:t>d</w:t>
      </w:r>
      <w:r w:rsidR="001A01BF" w:rsidRPr="00FF332E">
        <w:rPr>
          <w:sz w:val="24"/>
          <w:szCs w:val="24"/>
        </w:rPr>
        <w:t xml:space="preserve"> the impact of SDoH education in medical and pharmacy students and </w:t>
      </w:r>
      <w:r w:rsidR="008334D6">
        <w:rPr>
          <w:sz w:val="24"/>
          <w:szCs w:val="24"/>
        </w:rPr>
        <w:t>examined</w:t>
      </w:r>
      <w:r w:rsidR="008334D6" w:rsidRPr="00FF332E">
        <w:rPr>
          <w:sz w:val="24"/>
          <w:szCs w:val="24"/>
        </w:rPr>
        <w:t xml:space="preserve"> </w:t>
      </w:r>
      <w:r w:rsidR="001A01BF" w:rsidRPr="00FF332E">
        <w:rPr>
          <w:sz w:val="24"/>
          <w:szCs w:val="24"/>
        </w:rPr>
        <w:t>their perceptions of the Neighborhood Navigator tool</w:t>
      </w:r>
      <w:r w:rsidR="001A01BF" w:rsidRPr="00FF332E">
        <w:rPr>
          <w:rStyle w:val="CommentReference"/>
          <w:sz w:val="24"/>
          <w:szCs w:val="24"/>
        </w:rPr>
        <w:t>.</w:t>
      </w:r>
    </w:p>
    <w:p w14:paraId="3E583073" w14:textId="5A3917E6" w:rsidR="004B5CAD" w:rsidRPr="001A01BF" w:rsidRDefault="004B5CAD" w:rsidP="00BC02C1">
      <w:pPr>
        <w:spacing w:line="480" w:lineRule="auto"/>
        <w:rPr>
          <w:sz w:val="24"/>
          <w:szCs w:val="24"/>
        </w:rPr>
      </w:pPr>
      <w:r w:rsidRPr="00FF332E">
        <w:rPr>
          <w:b/>
          <w:bCs/>
          <w:sz w:val="24"/>
          <w:szCs w:val="24"/>
        </w:rPr>
        <w:t>Methods:</w:t>
      </w:r>
      <w:r w:rsidRPr="001A01BF">
        <w:rPr>
          <w:sz w:val="24"/>
          <w:szCs w:val="24"/>
        </w:rPr>
        <w:t xml:space="preserve"> This </w:t>
      </w:r>
      <w:r w:rsidR="000D7A5C">
        <w:rPr>
          <w:sz w:val="24"/>
          <w:szCs w:val="24"/>
        </w:rPr>
        <w:t>prospective</w:t>
      </w:r>
      <w:r w:rsidRPr="001A01BF">
        <w:rPr>
          <w:sz w:val="24"/>
          <w:szCs w:val="24"/>
        </w:rPr>
        <w:t xml:space="preserve"> study </w:t>
      </w:r>
      <w:r w:rsidR="00C46EA6" w:rsidRPr="001A01BF">
        <w:rPr>
          <w:sz w:val="24"/>
          <w:szCs w:val="24"/>
        </w:rPr>
        <w:t xml:space="preserve">of third and fourth year medical and </w:t>
      </w:r>
      <w:r w:rsidR="00224000">
        <w:rPr>
          <w:sz w:val="24"/>
          <w:szCs w:val="24"/>
        </w:rPr>
        <w:t>PharmD</w:t>
      </w:r>
      <w:r w:rsidR="00C46EA6" w:rsidRPr="001A01BF">
        <w:rPr>
          <w:sz w:val="24"/>
          <w:szCs w:val="24"/>
        </w:rPr>
        <w:t xml:space="preserve"> students </w:t>
      </w:r>
      <w:r w:rsidRPr="001A01BF">
        <w:rPr>
          <w:sz w:val="24"/>
          <w:szCs w:val="24"/>
        </w:rPr>
        <w:t>included a</w:t>
      </w:r>
      <w:r w:rsidR="00A26341" w:rsidRPr="001A01BF">
        <w:rPr>
          <w:sz w:val="24"/>
          <w:szCs w:val="24"/>
        </w:rPr>
        <w:t>n</w:t>
      </w:r>
      <w:r w:rsidRPr="001A01BF">
        <w:rPr>
          <w:sz w:val="24"/>
          <w:szCs w:val="24"/>
        </w:rPr>
        <w:t xml:space="preserve"> assessment </w:t>
      </w:r>
      <w:r w:rsidR="00A26341" w:rsidRPr="001A01BF">
        <w:rPr>
          <w:sz w:val="24"/>
          <w:szCs w:val="24"/>
        </w:rPr>
        <w:t xml:space="preserve">given before and after a </w:t>
      </w:r>
      <w:r w:rsidRPr="001A01BF">
        <w:rPr>
          <w:sz w:val="24"/>
          <w:szCs w:val="24"/>
        </w:rPr>
        <w:t xml:space="preserve">SDoH </w:t>
      </w:r>
      <w:r w:rsidR="00224000">
        <w:rPr>
          <w:sz w:val="24"/>
          <w:szCs w:val="24"/>
        </w:rPr>
        <w:t>learning activity</w:t>
      </w:r>
      <w:r w:rsidRPr="001A01BF">
        <w:rPr>
          <w:sz w:val="24"/>
          <w:szCs w:val="24"/>
        </w:rPr>
        <w:t>. The survey assess</w:t>
      </w:r>
      <w:r w:rsidR="00E21689">
        <w:rPr>
          <w:sz w:val="24"/>
          <w:szCs w:val="24"/>
        </w:rPr>
        <w:t>ment queried</w:t>
      </w:r>
      <w:r w:rsidR="009B31DE" w:rsidRPr="001A01BF">
        <w:rPr>
          <w:sz w:val="24"/>
          <w:szCs w:val="24"/>
        </w:rPr>
        <w:t xml:space="preserve"> </w:t>
      </w:r>
      <w:r w:rsidR="00A67080" w:rsidRPr="001A01BF">
        <w:rPr>
          <w:sz w:val="24"/>
          <w:szCs w:val="24"/>
        </w:rPr>
        <w:t>attitude</w:t>
      </w:r>
      <w:r w:rsidR="009B31DE" w:rsidRPr="001A01BF">
        <w:rPr>
          <w:sz w:val="24"/>
          <w:szCs w:val="24"/>
        </w:rPr>
        <w:t>s</w:t>
      </w:r>
      <w:r w:rsidR="00A67080" w:rsidRPr="001A01BF">
        <w:rPr>
          <w:sz w:val="24"/>
          <w:szCs w:val="24"/>
        </w:rPr>
        <w:t xml:space="preserve"> and knowledge of </w:t>
      </w:r>
      <w:r w:rsidRPr="001A01BF">
        <w:rPr>
          <w:sz w:val="24"/>
          <w:szCs w:val="24"/>
        </w:rPr>
        <w:t xml:space="preserve">SDoH and </w:t>
      </w:r>
      <w:r w:rsidR="00F633BC" w:rsidRPr="001A01BF">
        <w:rPr>
          <w:sz w:val="24"/>
          <w:szCs w:val="24"/>
        </w:rPr>
        <w:t xml:space="preserve">the </w:t>
      </w:r>
      <w:r w:rsidRPr="001A01BF">
        <w:rPr>
          <w:sz w:val="24"/>
          <w:szCs w:val="24"/>
        </w:rPr>
        <w:t xml:space="preserve">Neighborhood Navigator Tool. </w:t>
      </w:r>
      <w:r w:rsidR="007B08E8">
        <w:rPr>
          <w:sz w:val="24"/>
          <w:szCs w:val="24"/>
        </w:rPr>
        <w:t>P</w:t>
      </w:r>
      <w:r w:rsidRPr="001A01BF">
        <w:rPr>
          <w:sz w:val="24"/>
          <w:szCs w:val="24"/>
        </w:rPr>
        <w:t xml:space="preserve">re- </w:t>
      </w:r>
      <w:r w:rsidR="00F633BC" w:rsidRPr="001A01BF">
        <w:rPr>
          <w:sz w:val="24"/>
          <w:szCs w:val="24"/>
        </w:rPr>
        <w:t>vs post-</w:t>
      </w:r>
      <w:r w:rsidR="00811886">
        <w:rPr>
          <w:sz w:val="24"/>
          <w:szCs w:val="24"/>
        </w:rPr>
        <w:t xml:space="preserve">lecture </w:t>
      </w:r>
      <w:r w:rsidR="00414ADB">
        <w:rPr>
          <w:sz w:val="24"/>
          <w:szCs w:val="24"/>
        </w:rPr>
        <w:t>responses</w:t>
      </w:r>
      <w:r w:rsidR="007B08E8">
        <w:rPr>
          <w:sz w:val="24"/>
          <w:szCs w:val="24"/>
        </w:rPr>
        <w:t xml:space="preserve"> were compared</w:t>
      </w:r>
      <w:r w:rsidRPr="001A01BF">
        <w:rPr>
          <w:sz w:val="24"/>
          <w:szCs w:val="24"/>
        </w:rPr>
        <w:t>.</w:t>
      </w:r>
    </w:p>
    <w:p w14:paraId="584791FA" w14:textId="0F266AEB" w:rsidR="004B5CAD" w:rsidRPr="001A01BF" w:rsidRDefault="004B5CAD" w:rsidP="00BC02C1">
      <w:pPr>
        <w:spacing w:line="480" w:lineRule="auto"/>
        <w:rPr>
          <w:sz w:val="24"/>
          <w:szCs w:val="24"/>
        </w:rPr>
      </w:pPr>
      <w:r w:rsidRPr="00FF332E">
        <w:rPr>
          <w:b/>
          <w:bCs/>
          <w:sz w:val="24"/>
          <w:szCs w:val="24"/>
        </w:rPr>
        <w:t>Results:</w:t>
      </w:r>
      <w:r w:rsidRPr="001A01BF">
        <w:rPr>
          <w:sz w:val="24"/>
          <w:szCs w:val="24"/>
        </w:rPr>
        <w:t xml:space="preserve"> </w:t>
      </w:r>
      <w:r w:rsidR="007B08E8">
        <w:rPr>
          <w:sz w:val="24"/>
          <w:szCs w:val="24"/>
        </w:rPr>
        <w:t xml:space="preserve">After the lecture, </w:t>
      </w:r>
      <w:r w:rsidR="001820D4" w:rsidRPr="001A01BF">
        <w:rPr>
          <w:sz w:val="24"/>
          <w:szCs w:val="24"/>
        </w:rPr>
        <w:t xml:space="preserve">the </w:t>
      </w:r>
      <w:r w:rsidRPr="001A01BF">
        <w:rPr>
          <w:sz w:val="24"/>
          <w:szCs w:val="24"/>
        </w:rPr>
        <w:t xml:space="preserve">responses to the </w:t>
      </w:r>
      <w:r w:rsidR="001820D4" w:rsidRPr="001A01BF">
        <w:rPr>
          <w:sz w:val="24"/>
          <w:szCs w:val="24"/>
        </w:rPr>
        <w:t xml:space="preserve">following </w:t>
      </w:r>
      <w:r w:rsidRPr="001A01BF">
        <w:rPr>
          <w:sz w:val="24"/>
          <w:szCs w:val="24"/>
        </w:rPr>
        <w:t>questions</w:t>
      </w:r>
      <w:r w:rsidR="007B08E8">
        <w:rPr>
          <w:sz w:val="24"/>
          <w:szCs w:val="24"/>
        </w:rPr>
        <w:t xml:space="preserve"> changed significantly</w:t>
      </w:r>
      <w:r w:rsidRPr="001A01BF">
        <w:rPr>
          <w:sz w:val="24"/>
          <w:szCs w:val="24"/>
        </w:rPr>
        <w:t>: “I have a comprehensive understanding of SDoH.” (p&lt;0</w:t>
      </w:r>
      <w:r w:rsidR="00E21689">
        <w:rPr>
          <w:sz w:val="24"/>
          <w:szCs w:val="24"/>
        </w:rPr>
        <w:t>.</w:t>
      </w:r>
      <w:r w:rsidRPr="001A01BF">
        <w:rPr>
          <w:sz w:val="24"/>
          <w:szCs w:val="24"/>
        </w:rPr>
        <w:t>001); “I feel confident in my ability to refer patients to community resources addressing SDoH.” (p &lt;</w:t>
      </w:r>
      <w:r w:rsidR="00E21689">
        <w:rPr>
          <w:sz w:val="24"/>
          <w:szCs w:val="24"/>
        </w:rPr>
        <w:t>0</w:t>
      </w:r>
      <w:r w:rsidRPr="001A01BF">
        <w:rPr>
          <w:sz w:val="24"/>
          <w:szCs w:val="24"/>
        </w:rPr>
        <w:t>.001); and “I feel that my medical school training adequately prepared me to assist patients in addressing SDoH” (p=0.</w:t>
      </w:r>
      <w:r w:rsidR="003314BD" w:rsidRPr="001A01BF">
        <w:rPr>
          <w:sz w:val="24"/>
          <w:szCs w:val="24"/>
        </w:rPr>
        <w:t>0</w:t>
      </w:r>
      <w:r w:rsidR="003314BD">
        <w:rPr>
          <w:sz w:val="24"/>
          <w:szCs w:val="24"/>
        </w:rPr>
        <w:t>05</w:t>
      </w:r>
      <w:r w:rsidRPr="001A01BF">
        <w:rPr>
          <w:sz w:val="24"/>
          <w:szCs w:val="24"/>
        </w:rPr>
        <w:t xml:space="preserve">). </w:t>
      </w:r>
      <w:r w:rsidR="00FB6822">
        <w:rPr>
          <w:sz w:val="24"/>
          <w:szCs w:val="24"/>
        </w:rPr>
        <w:t>After the lecture, a</w:t>
      </w:r>
      <w:r w:rsidR="007A5777" w:rsidRPr="001A01BF">
        <w:rPr>
          <w:sz w:val="24"/>
          <w:szCs w:val="24"/>
        </w:rPr>
        <w:t xml:space="preserve">ll participants agreed or strongly agreed that the Neighborhood Navigator </w:t>
      </w:r>
      <w:r w:rsidR="007A5777">
        <w:rPr>
          <w:sz w:val="24"/>
          <w:szCs w:val="24"/>
        </w:rPr>
        <w:t xml:space="preserve">tool </w:t>
      </w:r>
      <w:r w:rsidR="007A5777" w:rsidRPr="001A01BF">
        <w:rPr>
          <w:sz w:val="24"/>
          <w:szCs w:val="24"/>
        </w:rPr>
        <w:t>would be impactful in discharge planning with patients</w:t>
      </w:r>
      <w:r w:rsidR="007A5777">
        <w:rPr>
          <w:sz w:val="24"/>
          <w:szCs w:val="24"/>
        </w:rPr>
        <w:t xml:space="preserve">. </w:t>
      </w:r>
      <w:r w:rsidRPr="001A01BF">
        <w:rPr>
          <w:sz w:val="24"/>
          <w:szCs w:val="24"/>
        </w:rPr>
        <w:t xml:space="preserve">Transportation services (35.3%), medication cost assistance (17.6%), and medical supplies or home health services (14.7%) were cited as the aspects of </w:t>
      </w:r>
      <w:r w:rsidR="00DE0D57" w:rsidRPr="001A01BF">
        <w:rPr>
          <w:sz w:val="24"/>
          <w:szCs w:val="24"/>
        </w:rPr>
        <w:t xml:space="preserve">the </w:t>
      </w:r>
      <w:r w:rsidRPr="001A01BF">
        <w:rPr>
          <w:sz w:val="24"/>
          <w:szCs w:val="24"/>
        </w:rPr>
        <w:t xml:space="preserve">Neighborhood Navigator </w:t>
      </w:r>
      <w:r w:rsidR="00DE0D57" w:rsidRPr="001A01BF">
        <w:rPr>
          <w:sz w:val="24"/>
          <w:szCs w:val="24"/>
        </w:rPr>
        <w:t xml:space="preserve">tool that </w:t>
      </w:r>
      <w:r w:rsidRPr="001A01BF">
        <w:rPr>
          <w:sz w:val="24"/>
          <w:szCs w:val="24"/>
        </w:rPr>
        <w:t xml:space="preserve">students felt </w:t>
      </w:r>
      <w:r w:rsidR="00DE0D57" w:rsidRPr="001A01BF">
        <w:rPr>
          <w:sz w:val="24"/>
          <w:szCs w:val="24"/>
        </w:rPr>
        <w:t xml:space="preserve">were </w:t>
      </w:r>
      <w:r w:rsidRPr="001A01BF">
        <w:rPr>
          <w:sz w:val="24"/>
          <w:szCs w:val="24"/>
        </w:rPr>
        <w:t>most applicable to their patient</w:t>
      </w:r>
      <w:r w:rsidR="00414ADB">
        <w:rPr>
          <w:sz w:val="24"/>
          <w:szCs w:val="24"/>
        </w:rPr>
        <w:t>s</w:t>
      </w:r>
      <w:r w:rsidRPr="001A01BF">
        <w:rPr>
          <w:sz w:val="24"/>
          <w:szCs w:val="24"/>
        </w:rPr>
        <w:t xml:space="preserve">. </w:t>
      </w:r>
    </w:p>
    <w:p w14:paraId="7D13B548" w14:textId="37D1B7D9" w:rsidR="004B5CAD" w:rsidRPr="001A01BF" w:rsidRDefault="004B5CAD" w:rsidP="00BC02C1">
      <w:pPr>
        <w:spacing w:line="480" w:lineRule="auto"/>
        <w:rPr>
          <w:sz w:val="24"/>
          <w:szCs w:val="24"/>
        </w:rPr>
      </w:pPr>
      <w:r w:rsidRPr="00FF332E">
        <w:rPr>
          <w:b/>
          <w:bCs/>
          <w:sz w:val="24"/>
          <w:szCs w:val="24"/>
        </w:rPr>
        <w:lastRenderedPageBreak/>
        <w:t>Conclusion:</w:t>
      </w:r>
      <w:r w:rsidRPr="001A01BF">
        <w:rPr>
          <w:sz w:val="24"/>
          <w:szCs w:val="24"/>
        </w:rPr>
        <w:t xml:space="preserve"> </w:t>
      </w:r>
      <w:r w:rsidR="00643ACA">
        <w:rPr>
          <w:sz w:val="24"/>
          <w:szCs w:val="24"/>
        </w:rPr>
        <w:t>Familiarizing medical providers with the Neighborhood Navigator tool should increase provider</w:t>
      </w:r>
      <w:r w:rsidR="006B1DEB">
        <w:rPr>
          <w:sz w:val="24"/>
          <w:szCs w:val="24"/>
        </w:rPr>
        <w:t>’</w:t>
      </w:r>
      <w:r w:rsidR="00643ACA">
        <w:rPr>
          <w:sz w:val="24"/>
          <w:szCs w:val="24"/>
        </w:rPr>
        <w:t>s confidence in navigating SDoH and can be accomplished with additional instruction</w:t>
      </w:r>
      <w:r w:rsidR="00D94CF4" w:rsidRPr="001A01BF">
        <w:rPr>
          <w:sz w:val="24"/>
          <w:szCs w:val="24"/>
        </w:rPr>
        <w:t xml:space="preserve">. </w:t>
      </w:r>
    </w:p>
    <w:p w14:paraId="6AF4B14E" w14:textId="2B819183" w:rsidR="003E3A5F" w:rsidRPr="001A01BF" w:rsidRDefault="003E3A5F">
      <w:pPr>
        <w:rPr>
          <w:sz w:val="24"/>
          <w:szCs w:val="24"/>
        </w:rPr>
      </w:pPr>
      <w:r w:rsidRPr="001A01BF">
        <w:rPr>
          <w:sz w:val="24"/>
          <w:szCs w:val="24"/>
        </w:rPr>
        <w:br w:type="page"/>
      </w:r>
    </w:p>
    <w:p w14:paraId="38862117" w14:textId="1A0ECE36" w:rsidR="00330E9F" w:rsidRPr="00FF332E" w:rsidRDefault="00330E9F" w:rsidP="00FF332E">
      <w:pPr>
        <w:spacing w:line="480" w:lineRule="auto"/>
        <w:jc w:val="center"/>
        <w:rPr>
          <w:sz w:val="24"/>
          <w:szCs w:val="24"/>
          <w:u w:val="single"/>
        </w:rPr>
      </w:pPr>
      <w:r w:rsidRPr="00FF332E">
        <w:rPr>
          <w:sz w:val="24"/>
          <w:szCs w:val="24"/>
          <w:u w:val="single"/>
        </w:rPr>
        <w:lastRenderedPageBreak/>
        <w:t>INTRODUCTION</w:t>
      </w:r>
    </w:p>
    <w:p w14:paraId="4C5CA460" w14:textId="19B1126F" w:rsidR="00330E9F" w:rsidRPr="001A01BF" w:rsidRDefault="00DC6243" w:rsidP="00B12824">
      <w:pPr>
        <w:spacing w:line="480" w:lineRule="auto"/>
        <w:ind w:firstLine="720"/>
        <w:rPr>
          <w:sz w:val="24"/>
          <w:szCs w:val="24"/>
        </w:rPr>
      </w:pPr>
      <w:r w:rsidRPr="001A01BF">
        <w:rPr>
          <w:sz w:val="24"/>
          <w:szCs w:val="24"/>
        </w:rPr>
        <w:t xml:space="preserve">Over the last several years, social determinants of health (SDoH) have gained a rightful place in the healthcare spotlight. From this increased attention and research, we know that SDoH must become a priority </w:t>
      </w:r>
      <w:r w:rsidR="00B00803">
        <w:rPr>
          <w:sz w:val="24"/>
          <w:szCs w:val="24"/>
        </w:rPr>
        <w:t>during</w:t>
      </w:r>
      <w:r w:rsidR="00B00803" w:rsidRPr="001A01BF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patient care visits </w:t>
      </w:r>
      <w:r w:rsidR="000657B7" w:rsidRPr="001A01BF">
        <w:rPr>
          <w:sz w:val="24"/>
          <w:szCs w:val="24"/>
        </w:rPr>
        <w:t>to improve health equity</w:t>
      </w:r>
      <w:r w:rsidR="008A4253">
        <w:rPr>
          <w:sz w:val="24"/>
          <w:szCs w:val="24"/>
        </w:rPr>
        <w:t>,</w:t>
      </w:r>
      <w:r w:rsidR="000657B7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and measures to reduce disparities </w:t>
      </w:r>
      <w:r w:rsidR="008A4253">
        <w:rPr>
          <w:sz w:val="24"/>
          <w:szCs w:val="24"/>
        </w:rPr>
        <w:t>are needed</w:t>
      </w:r>
      <w:r w:rsidR="000657B7" w:rsidRPr="001A01BF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to achieve optimal health. SDoH factors </w:t>
      </w:r>
      <w:r w:rsidR="00F044B6">
        <w:rPr>
          <w:sz w:val="24"/>
          <w:szCs w:val="24"/>
        </w:rPr>
        <w:t xml:space="preserve">may </w:t>
      </w:r>
      <w:r w:rsidR="005D749E">
        <w:rPr>
          <w:sz w:val="24"/>
          <w:szCs w:val="24"/>
        </w:rPr>
        <w:t>determine</w:t>
      </w:r>
      <w:r w:rsidRPr="001A01BF">
        <w:rPr>
          <w:sz w:val="24"/>
          <w:szCs w:val="24"/>
        </w:rPr>
        <w:t xml:space="preserve"> </w:t>
      </w:r>
      <w:r w:rsidR="00364264">
        <w:rPr>
          <w:sz w:val="24"/>
          <w:szCs w:val="24"/>
        </w:rPr>
        <w:t>up to</w:t>
      </w:r>
      <w:r w:rsidRPr="001A01BF">
        <w:rPr>
          <w:sz w:val="24"/>
          <w:szCs w:val="24"/>
        </w:rPr>
        <w:t xml:space="preserve"> 55% of health outcomes</w:t>
      </w:r>
      <w:r w:rsidR="00F044B6">
        <w:rPr>
          <w:sz w:val="24"/>
          <w:szCs w:val="24"/>
        </w:rPr>
        <w:t>,</w:t>
      </w:r>
      <w:r w:rsidR="00535D01" w:rsidRPr="001A01BF" w:rsidDel="00535D01">
        <w:rPr>
          <w:sz w:val="24"/>
          <w:szCs w:val="24"/>
          <w:vertAlign w:val="superscript"/>
        </w:rPr>
        <w:t xml:space="preserve"> </w:t>
      </w:r>
      <w:r w:rsidR="00F044B6">
        <w:rPr>
          <w:sz w:val="24"/>
          <w:szCs w:val="24"/>
        </w:rPr>
        <w:t>and</w:t>
      </w:r>
      <w:r w:rsidR="00F63B73" w:rsidRPr="001A01BF">
        <w:rPr>
          <w:sz w:val="24"/>
          <w:szCs w:val="24"/>
        </w:rPr>
        <w:t xml:space="preserve"> addressing SDoH </w:t>
      </w:r>
      <w:r w:rsidR="00ED2577">
        <w:rPr>
          <w:sz w:val="24"/>
          <w:szCs w:val="24"/>
        </w:rPr>
        <w:t>has many benefits</w:t>
      </w:r>
      <w:r w:rsidR="00F63B73" w:rsidRPr="001A01BF">
        <w:rPr>
          <w:sz w:val="24"/>
          <w:szCs w:val="24"/>
        </w:rPr>
        <w:t xml:space="preserve"> </w:t>
      </w:r>
      <w:r w:rsidR="0035616D" w:rsidRPr="001A01BF">
        <w:rPr>
          <w:sz w:val="24"/>
          <w:szCs w:val="24"/>
        </w:rPr>
        <w:t xml:space="preserve">including </w:t>
      </w:r>
      <w:r w:rsidR="00F63B73" w:rsidRPr="001A01BF">
        <w:rPr>
          <w:sz w:val="24"/>
          <w:szCs w:val="24"/>
        </w:rPr>
        <w:t>increased access to medical care, decreased homelessness, and even decreased 90</w:t>
      </w:r>
      <w:r w:rsidR="00E06B95" w:rsidRPr="001A01BF">
        <w:rPr>
          <w:sz w:val="24"/>
          <w:szCs w:val="24"/>
        </w:rPr>
        <w:t>-</w:t>
      </w:r>
      <w:r w:rsidR="00F63B73" w:rsidRPr="001A01BF">
        <w:rPr>
          <w:sz w:val="24"/>
          <w:szCs w:val="24"/>
        </w:rPr>
        <w:t>day mortality.</w:t>
      </w:r>
      <w:r w:rsidR="00535D01" w:rsidRPr="001A01BF">
        <w:rPr>
          <w:sz w:val="24"/>
          <w:szCs w:val="24"/>
        </w:rPr>
        <w:t xml:space="preserve"> </w:t>
      </w:r>
      <w:r w:rsidR="00535D01" w:rsidRPr="001A01BF">
        <w:rPr>
          <w:sz w:val="24"/>
          <w:szCs w:val="24"/>
          <w:vertAlign w:val="superscript"/>
        </w:rPr>
        <w:t>1</w:t>
      </w:r>
      <w:r w:rsidR="00535D01">
        <w:rPr>
          <w:sz w:val="24"/>
          <w:szCs w:val="24"/>
          <w:vertAlign w:val="superscript"/>
        </w:rPr>
        <w:t>,</w:t>
      </w:r>
      <w:r w:rsidR="00683BE5" w:rsidRPr="001A01BF">
        <w:rPr>
          <w:sz w:val="24"/>
          <w:szCs w:val="24"/>
          <w:vertAlign w:val="superscript"/>
        </w:rPr>
        <w:t>2,3,4</w:t>
      </w:r>
      <w:r w:rsidR="00F63B73" w:rsidRPr="001A01BF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While many family medicine physicians agree that addressing social needs is as important as addressing medical conditions, very few feel confident doing so. </w:t>
      </w:r>
      <w:r w:rsidR="00605C46">
        <w:rPr>
          <w:sz w:val="24"/>
          <w:szCs w:val="24"/>
        </w:rPr>
        <w:t>Some</w:t>
      </w:r>
      <w:r w:rsidR="00605C46" w:rsidRPr="001A01BF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primary care providers avoid </w:t>
      </w:r>
      <w:r w:rsidR="0056347C">
        <w:rPr>
          <w:sz w:val="24"/>
          <w:szCs w:val="24"/>
        </w:rPr>
        <w:t>querying</w:t>
      </w:r>
      <w:r w:rsidRPr="001A01BF">
        <w:rPr>
          <w:sz w:val="24"/>
          <w:szCs w:val="24"/>
        </w:rPr>
        <w:t xml:space="preserve"> SDoH altogether.</w:t>
      </w:r>
      <w:r w:rsidR="00E94E85" w:rsidRPr="001A01BF">
        <w:rPr>
          <w:sz w:val="24"/>
          <w:szCs w:val="24"/>
          <w:vertAlign w:val="superscript"/>
        </w:rPr>
        <w:t>5</w:t>
      </w:r>
      <w:r w:rsidR="00E94E85" w:rsidRPr="001A01BF">
        <w:rPr>
          <w:sz w:val="24"/>
          <w:szCs w:val="24"/>
        </w:rPr>
        <w:t xml:space="preserve"> </w:t>
      </w:r>
      <w:r w:rsidR="008A69D1" w:rsidRPr="001A01BF">
        <w:rPr>
          <w:sz w:val="24"/>
          <w:szCs w:val="24"/>
        </w:rPr>
        <w:t xml:space="preserve">In response to this </w:t>
      </w:r>
      <w:r w:rsidR="00242D22" w:rsidRPr="001A01BF">
        <w:rPr>
          <w:sz w:val="24"/>
          <w:szCs w:val="24"/>
        </w:rPr>
        <w:t>discrepancy</w:t>
      </w:r>
      <w:r w:rsidR="008A69D1" w:rsidRPr="001A01BF">
        <w:rPr>
          <w:sz w:val="24"/>
          <w:szCs w:val="24"/>
        </w:rPr>
        <w:t xml:space="preserve">, the </w:t>
      </w:r>
      <w:r w:rsidR="00535D01" w:rsidRPr="001A01BF">
        <w:rPr>
          <w:sz w:val="24"/>
          <w:szCs w:val="24"/>
        </w:rPr>
        <w:t>American Academy of Family Physicians (AAFP)</w:t>
      </w:r>
      <w:r w:rsidR="00535D01">
        <w:rPr>
          <w:sz w:val="24"/>
          <w:szCs w:val="24"/>
        </w:rPr>
        <w:t xml:space="preserve"> </w:t>
      </w:r>
      <w:r w:rsidR="008A69D1" w:rsidRPr="001A01BF">
        <w:rPr>
          <w:sz w:val="24"/>
          <w:szCs w:val="24"/>
        </w:rPr>
        <w:t>formed the Center for Diversity and Health Equity</w:t>
      </w:r>
      <w:r w:rsidR="009D55C7">
        <w:rPr>
          <w:sz w:val="24"/>
          <w:szCs w:val="24"/>
        </w:rPr>
        <w:t xml:space="preserve">, initiated </w:t>
      </w:r>
      <w:r w:rsidR="008A69D1" w:rsidRPr="001A01BF">
        <w:rPr>
          <w:sz w:val="24"/>
          <w:szCs w:val="24"/>
        </w:rPr>
        <w:t xml:space="preserve">the </w:t>
      </w:r>
      <w:proofErr w:type="spellStart"/>
      <w:r w:rsidR="008A69D1" w:rsidRPr="001A01BF">
        <w:rPr>
          <w:sz w:val="24"/>
          <w:szCs w:val="24"/>
        </w:rPr>
        <w:t>EveryONE</w:t>
      </w:r>
      <w:proofErr w:type="spellEnd"/>
      <w:r w:rsidR="008A69D1" w:rsidRPr="001A01BF">
        <w:rPr>
          <w:sz w:val="24"/>
          <w:szCs w:val="24"/>
        </w:rPr>
        <w:t xml:space="preserve"> Project</w:t>
      </w:r>
      <w:r w:rsidR="009C3023">
        <w:rPr>
          <w:sz w:val="24"/>
          <w:szCs w:val="24"/>
        </w:rPr>
        <w:t>,</w:t>
      </w:r>
      <w:r w:rsidR="009C19DC">
        <w:rPr>
          <w:sz w:val="24"/>
          <w:szCs w:val="24"/>
        </w:rPr>
        <w:t xml:space="preserve"> and developed </w:t>
      </w:r>
      <w:r w:rsidR="008A69D1" w:rsidRPr="001A01BF">
        <w:rPr>
          <w:sz w:val="24"/>
          <w:szCs w:val="24"/>
        </w:rPr>
        <w:t>the Neighborhood Navigator tool. The Neighborhood Navigator is an interactive screening tool that connect</w:t>
      </w:r>
      <w:r w:rsidR="00F63B73" w:rsidRPr="001A01BF">
        <w:rPr>
          <w:sz w:val="24"/>
          <w:szCs w:val="24"/>
        </w:rPr>
        <w:t>s</w:t>
      </w:r>
      <w:r w:rsidR="008A69D1" w:rsidRPr="001A01BF">
        <w:rPr>
          <w:sz w:val="24"/>
          <w:szCs w:val="24"/>
        </w:rPr>
        <w:t xml:space="preserve"> patients with supportive resources based on social needs. This tool lists more than 40</w:t>
      </w:r>
      <w:r w:rsidR="002A149B">
        <w:rPr>
          <w:sz w:val="24"/>
          <w:szCs w:val="24"/>
        </w:rPr>
        <w:t> </w:t>
      </w:r>
      <w:r w:rsidR="008A69D1" w:rsidRPr="001A01BF">
        <w:rPr>
          <w:sz w:val="24"/>
          <w:szCs w:val="24"/>
        </w:rPr>
        <w:t>000 services (</w:t>
      </w:r>
      <w:proofErr w:type="gramStart"/>
      <w:r w:rsidR="000C04F0">
        <w:rPr>
          <w:i/>
          <w:iCs/>
          <w:sz w:val="24"/>
          <w:szCs w:val="24"/>
        </w:rPr>
        <w:t>e.g.</w:t>
      </w:r>
      <w:proofErr w:type="gramEnd"/>
      <w:r w:rsidR="000C04F0">
        <w:rPr>
          <w:i/>
          <w:iCs/>
          <w:sz w:val="24"/>
          <w:szCs w:val="24"/>
        </w:rPr>
        <w:t xml:space="preserve"> </w:t>
      </w:r>
      <w:r w:rsidR="008A69D1" w:rsidRPr="001A01BF">
        <w:rPr>
          <w:sz w:val="24"/>
          <w:szCs w:val="24"/>
        </w:rPr>
        <w:t xml:space="preserve">food, housing, transportation) </w:t>
      </w:r>
      <w:r w:rsidR="002A149B">
        <w:rPr>
          <w:sz w:val="24"/>
          <w:szCs w:val="24"/>
        </w:rPr>
        <w:t>by</w:t>
      </w:r>
      <w:r w:rsidR="008A69D1" w:rsidRPr="001A01BF">
        <w:rPr>
          <w:sz w:val="24"/>
          <w:szCs w:val="24"/>
        </w:rPr>
        <w:t xml:space="preserve"> zip code. </w:t>
      </w:r>
      <w:r w:rsidR="00683BE5" w:rsidRPr="001A01BF">
        <w:rPr>
          <w:sz w:val="24"/>
          <w:szCs w:val="24"/>
          <w:vertAlign w:val="superscript"/>
        </w:rPr>
        <w:t>6</w:t>
      </w:r>
      <w:r w:rsidR="008A69D1" w:rsidRPr="001A01BF">
        <w:rPr>
          <w:sz w:val="24"/>
          <w:szCs w:val="24"/>
        </w:rPr>
        <w:t xml:space="preserve"> </w:t>
      </w:r>
      <w:r w:rsidR="002A149B">
        <w:rPr>
          <w:sz w:val="24"/>
          <w:szCs w:val="24"/>
        </w:rPr>
        <w:t>Our</w:t>
      </w:r>
      <w:r w:rsidR="002A149B" w:rsidRPr="001A01BF">
        <w:rPr>
          <w:sz w:val="24"/>
          <w:szCs w:val="24"/>
        </w:rPr>
        <w:t xml:space="preserve"> </w:t>
      </w:r>
      <w:r w:rsidR="008A69D1" w:rsidRPr="001A01BF">
        <w:rPr>
          <w:sz w:val="24"/>
          <w:szCs w:val="24"/>
        </w:rPr>
        <w:t xml:space="preserve">study </w:t>
      </w:r>
      <w:r w:rsidR="002A149B">
        <w:rPr>
          <w:sz w:val="24"/>
          <w:szCs w:val="24"/>
        </w:rPr>
        <w:t>sought</w:t>
      </w:r>
      <w:r w:rsidR="007C361A" w:rsidRPr="001A01BF">
        <w:rPr>
          <w:sz w:val="24"/>
          <w:szCs w:val="24"/>
        </w:rPr>
        <w:t xml:space="preserve"> </w:t>
      </w:r>
      <w:r w:rsidR="008A69D1" w:rsidRPr="001A01BF">
        <w:rPr>
          <w:sz w:val="24"/>
          <w:szCs w:val="24"/>
        </w:rPr>
        <w:t xml:space="preserve">to examine the </w:t>
      </w:r>
      <w:r w:rsidR="00A278F9" w:rsidRPr="001A01BF">
        <w:rPr>
          <w:sz w:val="24"/>
          <w:szCs w:val="24"/>
        </w:rPr>
        <w:t xml:space="preserve">impact of SDoH education </w:t>
      </w:r>
      <w:r w:rsidR="002830AE">
        <w:rPr>
          <w:sz w:val="24"/>
          <w:szCs w:val="24"/>
        </w:rPr>
        <w:t>on</w:t>
      </w:r>
      <w:r w:rsidR="008A69D1" w:rsidRPr="001A01BF">
        <w:rPr>
          <w:sz w:val="24"/>
          <w:szCs w:val="24"/>
        </w:rPr>
        <w:t xml:space="preserve"> third- and fourth-year medical </w:t>
      </w:r>
      <w:r w:rsidR="002830AE">
        <w:rPr>
          <w:sz w:val="24"/>
          <w:szCs w:val="24"/>
        </w:rPr>
        <w:t xml:space="preserve">and pharmacy </w:t>
      </w:r>
      <w:r w:rsidR="008A69D1" w:rsidRPr="001A01BF">
        <w:rPr>
          <w:sz w:val="24"/>
          <w:szCs w:val="24"/>
        </w:rPr>
        <w:t>students</w:t>
      </w:r>
      <w:r w:rsidR="00A112A8" w:rsidRPr="001A01BF">
        <w:rPr>
          <w:sz w:val="24"/>
          <w:szCs w:val="24"/>
        </w:rPr>
        <w:t xml:space="preserve"> </w:t>
      </w:r>
      <w:r w:rsidR="003D7DB5" w:rsidRPr="001A01BF">
        <w:rPr>
          <w:sz w:val="24"/>
          <w:szCs w:val="24"/>
        </w:rPr>
        <w:t xml:space="preserve">and determine their </w:t>
      </w:r>
      <w:r w:rsidR="008A69D1" w:rsidRPr="001A01BF">
        <w:rPr>
          <w:sz w:val="24"/>
          <w:szCs w:val="24"/>
        </w:rPr>
        <w:t>perception</w:t>
      </w:r>
      <w:r w:rsidR="00365F74" w:rsidRPr="001A01BF">
        <w:rPr>
          <w:sz w:val="24"/>
          <w:szCs w:val="24"/>
        </w:rPr>
        <w:t>s</w:t>
      </w:r>
      <w:r w:rsidR="008A69D1" w:rsidRPr="001A01BF">
        <w:rPr>
          <w:sz w:val="24"/>
          <w:szCs w:val="24"/>
        </w:rPr>
        <w:t xml:space="preserve"> of the </w:t>
      </w:r>
      <w:r w:rsidR="00365F74" w:rsidRPr="001A01BF">
        <w:rPr>
          <w:sz w:val="24"/>
          <w:szCs w:val="24"/>
        </w:rPr>
        <w:t>Neighborhood Navigator tool</w:t>
      </w:r>
      <w:r w:rsidR="00365F74" w:rsidRPr="001A01BF">
        <w:rPr>
          <w:rStyle w:val="CommentReference"/>
          <w:sz w:val="24"/>
          <w:szCs w:val="24"/>
        </w:rPr>
        <w:t>.</w:t>
      </w:r>
      <w:r w:rsidR="008A69D1" w:rsidRPr="001A01BF">
        <w:rPr>
          <w:sz w:val="24"/>
          <w:szCs w:val="24"/>
        </w:rPr>
        <w:t xml:space="preserve"> </w:t>
      </w:r>
    </w:p>
    <w:p w14:paraId="74CC4016" w14:textId="68FFA540" w:rsidR="00FC1708" w:rsidRPr="00FF332E" w:rsidRDefault="00330E9F" w:rsidP="00FF332E">
      <w:pPr>
        <w:keepNext/>
        <w:spacing w:line="480" w:lineRule="auto"/>
        <w:jc w:val="center"/>
        <w:rPr>
          <w:bCs/>
          <w:sz w:val="24"/>
          <w:szCs w:val="24"/>
          <w:u w:val="single"/>
        </w:rPr>
      </w:pPr>
      <w:r w:rsidRPr="00FF332E">
        <w:rPr>
          <w:bCs/>
          <w:sz w:val="24"/>
          <w:szCs w:val="24"/>
          <w:u w:val="single"/>
        </w:rPr>
        <w:t>METHODS</w:t>
      </w:r>
    </w:p>
    <w:p w14:paraId="5AC371F8" w14:textId="391CF395" w:rsidR="00FC1708" w:rsidRPr="001A01BF" w:rsidRDefault="00561FF5" w:rsidP="00FF332E">
      <w:pPr>
        <w:spacing w:line="480" w:lineRule="auto"/>
        <w:ind w:firstLine="720"/>
        <w:rPr>
          <w:b/>
          <w:bCs/>
          <w:sz w:val="24"/>
          <w:szCs w:val="24"/>
        </w:rPr>
      </w:pPr>
      <w:r w:rsidRPr="001A01BF">
        <w:rPr>
          <w:sz w:val="24"/>
          <w:szCs w:val="24"/>
        </w:rPr>
        <w:t xml:space="preserve">The </w:t>
      </w:r>
      <w:r w:rsidR="00FC1708" w:rsidRPr="001A01BF">
        <w:rPr>
          <w:bCs/>
          <w:sz w:val="24"/>
          <w:szCs w:val="24"/>
        </w:rPr>
        <w:t>Charleston Area Medical Center</w:t>
      </w:r>
      <w:r w:rsidR="00FC1708" w:rsidRPr="001A01BF">
        <w:rPr>
          <w:sz w:val="24"/>
          <w:szCs w:val="24"/>
        </w:rPr>
        <w:t xml:space="preserve"> Institutional Review Board</w:t>
      </w:r>
      <w:r w:rsidR="00827D5D">
        <w:rPr>
          <w:sz w:val="24"/>
          <w:szCs w:val="24"/>
        </w:rPr>
        <w:t xml:space="preserve"> </w:t>
      </w:r>
      <w:r w:rsidR="00FC1708" w:rsidRPr="001A01BF">
        <w:rPr>
          <w:sz w:val="24"/>
          <w:szCs w:val="24"/>
        </w:rPr>
        <w:t xml:space="preserve">approved </w:t>
      </w:r>
      <w:r w:rsidRPr="001A01BF">
        <w:rPr>
          <w:sz w:val="24"/>
          <w:szCs w:val="24"/>
        </w:rPr>
        <w:t>th</w:t>
      </w:r>
      <w:r w:rsidR="00CF74AE" w:rsidRPr="001A01BF">
        <w:rPr>
          <w:sz w:val="24"/>
          <w:szCs w:val="24"/>
        </w:rPr>
        <w:t xml:space="preserve">e </w:t>
      </w:r>
      <w:r w:rsidR="00FC1708" w:rsidRPr="001A01BF">
        <w:rPr>
          <w:sz w:val="24"/>
          <w:szCs w:val="24"/>
        </w:rPr>
        <w:t>survey</w:t>
      </w:r>
      <w:r w:rsidR="00CF74AE" w:rsidRPr="001A01BF">
        <w:rPr>
          <w:sz w:val="24"/>
          <w:szCs w:val="24"/>
        </w:rPr>
        <w:t>, which</w:t>
      </w:r>
      <w:r w:rsidR="00FC1708" w:rsidRPr="001A01BF">
        <w:rPr>
          <w:sz w:val="24"/>
          <w:szCs w:val="24"/>
        </w:rPr>
        <w:t xml:space="preserve"> was administered electronically via Research Electronic Data Capture (REDCap), a </w:t>
      </w:r>
      <w:r w:rsidR="009262AB" w:rsidRPr="001A01BF">
        <w:rPr>
          <w:sz w:val="24"/>
          <w:szCs w:val="24"/>
        </w:rPr>
        <w:t>HIPAA</w:t>
      </w:r>
      <w:r w:rsidR="00FC1708" w:rsidRPr="001A01BF">
        <w:rPr>
          <w:sz w:val="24"/>
          <w:szCs w:val="24"/>
        </w:rPr>
        <w:t>-compliant, secure</w:t>
      </w:r>
      <w:r w:rsidR="006F1E7D">
        <w:rPr>
          <w:sz w:val="24"/>
          <w:szCs w:val="24"/>
        </w:rPr>
        <w:t>,</w:t>
      </w:r>
      <w:r w:rsidR="00FC1708" w:rsidRPr="001A01BF">
        <w:rPr>
          <w:sz w:val="24"/>
          <w:szCs w:val="24"/>
        </w:rPr>
        <w:t xml:space="preserve"> web-based online survey tool and database. </w:t>
      </w:r>
    </w:p>
    <w:p w14:paraId="01752A24" w14:textId="2263C016" w:rsidR="00A41F37" w:rsidRPr="001A01BF" w:rsidRDefault="00431B63" w:rsidP="00A41F37">
      <w:pPr>
        <w:spacing w:line="480" w:lineRule="auto"/>
        <w:ind w:firstLine="720"/>
        <w:rPr>
          <w:bCs/>
          <w:sz w:val="24"/>
          <w:szCs w:val="24"/>
        </w:rPr>
      </w:pPr>
      <w:r w:rsidRPr="004D58A5">
        <w:rPr>
          <w:sz w:val="24"/>
          <w:szCs w:val="24"/>
        </w:rPr>
        <w:lastRenderedPageBreak/>
        <w:t>We</w:t>
      </w:r>
      <w:r w:rsidR="008F2309" w:rsidRPr="004D58A5">
        <w:rPr>
          <w:sz w:val="24"/>
          <w:szCs w:val="24"/>
        </w:rPr>
        <w:t xml:space="preserve"> invited</w:t>
      </w:r>
      <w:r w:rsidR="00FC1708" w:rsidRPr="004D58A5">
        <w:rPr>
          <w:sz w:val="24"/>
          <w:szCs w:val="24"/>
        </w:rPr>
        <w:t xml:space="preserve">  </w:t>
      </w:r>
      <w:r w:rsidR="000354C6" w:rsidRPr="004D58A5">
        <w:rPr>
          <w:sz w:val="24"/>
          <w:szCs w:val="24"/>
        </w:rPr>
        <w:t xml:space="preserve">all student participants </w:t>
      </w:r>
      <w:r w:rsidR="008376BA">
        <w:rPr>
          <w:sz w:val="24"/>
          <w:szCs w:val="24"/>
        </w:rPr>
        <w:t>in</w:t>
      </w:r>
      <w:r w:rsidR="000354C6" w:rsidRPr="004D58A5">
        <w:rPr>
          <w:sz w:val="24"/>
          <w:szCs w:val="24"/>
        </w:rPr>
        <w:t xml:space="preserve"> a lecture titled</w:t>
      </w:r>
      <w:r w:rsidR="00FC1708" w:rsidRPr="004D58A5">
        <w:rPr>
          <w:sz w:val="24"/>
          <w:szCs w:val="24"/>
        </w:rPr>
        <w:t xml:space="preserve"> “Diversity and Health Equity: One Encounter at a Time” to complete an anonymous </w:t>
      </w:r>
      <w:r w:rsidR="009F677C" w:rsidRPr="004D58A5">
        <w:rPr>
          <w:sz w:val="24"/>
          <w:szCs w:val="24"/>
        </w:rPr>
        <w:t>survey before and after the lecture</w:t>
      </w:r>
      <w:r w:rsidR="004F0FF5" w:rsidRPr="004D58A5">
        <w:rPr>
          <w:sz w:val="24"/>
          <w:szCs w:val="24"/>
        </w:rPr>
        <w:t xml:space="preserve"> (</w:t>
      </w:r>
      <w:r w:rsidR="004F0FF5" w:rsidRPr="00717325">
        <w:rPr>
          <w:b/>
          <w:bCs/>
          <w:sz w:val="24"/>
          <w:szCs w:val="24"/>
        </w:rPr>
        <w:t>Appendix A</w:t>
      </w:r>
      <w:r w:rsidR="004F0FF5" w:rsidRPr="00FF332E">
        <w:rPr>
          <w:sz w:val="24"/>
          <w:szCs w:val="24"/>
        </w:rPr>
        <w:t>)</w:t>
      </w:r>
      <w:r w:rsidR="00FC1708" w:rsidRPr="00FF332E">
        <w:rPr>
          <w:sz w:val="24"/>
          <w:szCs w:val="24"/>
        </w:rPr>
        <w:t xml:space="preserve">. </w:t>
      </w:r>
      <w:r w:rsidR="00A41F37" w:rsidRPr="00FF332E">
        <w:rPr>
          <w:sz w:val="24"/>
          <w:szCs w:val="24"/>
        </w:rPr>
        <w:t xml:space="preserve">The </w:t>
      </w:r>
      <w:r w:rsidR="00A41F37">
        <w:rPr>
          <w:sz w:val="24"/>
          <w:szCs w:val="24"/>
        </w:rPr>
        <w:t xml:space="preserve">educational </w:t>
      </w:r>
      <w:r w:rsidR="00A41F37" w:rsidRPr="00FF332E">
        <w:rPr>
          <w:sz w:val="24"/>
          <w:szCs w:val="24"/>
        </w:rPr>
        <w:t xml:space="preserve">intervention included a flipped-classroom model of presenting the material </w:t>
      </w:r>
      <w:r w:rsidR="00A41F37">
        <w:rPr>
          <w:sz w:val="24"/>
          <w:szCs w:val="24"/>
        </w:rPr>
        <w:t>in a brief lecture</w:t>
      </w:r>
      <w:r w:rsidR="00C61EF1">
        <w:rPr>
          <w:sz w:val="24"/>
          <w:szCs w:val="24"/>
        </w:rPr>
        <w:t xml:space="preserve"> then post-test</w:t>
      </w:r>
      <w:r w:rsidR="00A41F37">
        <w:rPr>
          <w:sz w:val="24"/>
          <w:szCs w:val="24"/>
        </w:rPr>
        <w:t xml:space="preserve"> </w:t>
      </w:r>
      <w:r w:rsidR="00A41F37" w:rsidRPr="00FF332E">
        <w:rPr>
          <w:sz w:val="24"/>
          <w:szCs w:val="24"/>
        </w:rPr>
        <w:t xml:space="preserve">prior to </w:t>
      </w:r>
      <w:r w:rsidR="00A41F37">
        <w:rPr>
          <w:sz w:val="24"/>
          <w:szCs w:val="24"/>
        </w:rPr>
        <w:t>a small-group</w:t>
      </w:r>
      <w:r w:rsidR="00A41F37" w:rsidRPr="00FF332E">
        <w:rPr>
          <w:sz w:val="24"/>
          <w:szCs w:val="24"/>
        </w:rPr>
        <w:t xml:space="preserve"> </w:t>
      </w:r>
      <w:r w:rsidR="00A41F37">
        <w:rPr>
          <w:sz w:val="24"/>
          <w:szCs w:val="24"/>
        </w:rPr>
        <w:t>session</w:t>
      </w:r>
      <w:r w:rsidR="00A41F37" w:rsidRPr="00FF332E">
        <w:rPr>
          <w:sz w:val="24"/>
          <w:szCs w:val="24"/>
        </w:rPr>
        <w:t xml:space="preserve">. During </w:t>
      </w:r>
      <w:r w:rsidR="00A41F37">
        <w:rPr>
          <w:sz w:val="24"/>
          <w:szCs w:val="24"/>
        </w:rPr>
        <w:t>the</w:t>
      </w:r>
      <w:r w:rsidR="00A41F37" w:rsidRPr="00FF332E">
        <w:rPr>
          <w:sz w:val="24"/>
          <w:szCs w:val="24"/>
        </w:rPr>
        <w:t xml:space="preserve"> in-person, small-group session, each student identified a patient with SDoH needs, accessed the Neighborhood Navigator, and chose an appropriate community resource to address that patient’s need.</w:t>
      </w:r>
      <w:r w:rsidR="00A41F37" w:rsidRPr="004D58A5">
        <w:rPr>
          <w:sz w:val="24"/>
          <w:szCs w:val="24"/>
        </w:rPr>
        <w:t xml:space="preserve"> Students were then asked to document</w:t>
      </w:r>
      <w:r w:rsidR="00A41F37" w:rsidRPr="001A01BF">
        <w:rPr>
          <w:bCs/>
          <w:sz w:val="24"/>
          <w:szCs w:val="24"/>
        </w:rPr>
        <w:t xml:space="preserve"> </w:t>
      </w:r>
      <w:r w:rsidR="00A41F37">
        <w:rPr>
          <w:bCs/>
          <w:sz w:val="24"/>
          <w:szCs w:val="24"/>
        </w:rPr>
        <w:t xml:space="preserve">and discuss </w:t>
      </w:r>
      <w:r w:rsidR="00A41F37" w:rsidRPr="001A01BF">
        <w:rPr>
          <w:bCs/>
          <w:sz w:val="24"/>
          <w:szCs w:val="24"/>
        </w:rPr>
        <w:t xml:space="preserve">the SDoH </w:t>
      </w:r>
      <w:proofErr w:type="gramStart"/>
      <w:r w:rsidR="00A41F37" w:rsidRPr="001A01BF">
        <w:rPr>
          <w:bCs/>
          <w:sz w:val="24"/>
          <w:szCs w:val="24"/>
        </w:rPr>
        <w:t>need</w:t>
      </w:r>
      <w:proofErr w:type="gramEnd"/>
      <w:r w:rsidR="00A41F37" w:rsidRPr="001A01BF">
        <w:rPr>
          <w:bCs/>
          <w:sz w:val="24"/>
          <w:szCs w:val="24"/>
        </w:rPr>
        <w:t xml:space="preserve"> and matching resource found in the Neighborhood Navigator.</w:t>
      </w:r>
    </w:p>
    <w:p w14:paraId="0626D56A" w14:textId="6D5F1B85" w:rsidR="00FC1708" w:rsidRPr="001A01BF" w:rsidRDefault="00FC1708" w:rsidP="00717325">
      <w:pPr>
        <w:spacing w:line="480" w:lineRule="auto"/>
        <w:ind w:firstLine="720"/>
        <w:rPr>
          <w:sz w:val="24"/>
          <w:szCs w:val="24"/>
        </w:rPr>
      </w:pPr>
      <w:r w:rsidRPr="004D58A5">
        <w:rPr>
          <w:sz w:val="24"/>
          <w:szCs w:val="24"/>
        </w:rPr>
        <w:t>Consenting participants accessed the survey using an email</w:t>
      </w:r>
      <w:r w:rsidR="00692102" w:rsidRPr="004D58A5">
        <w:rPr>
          <w:sz w:val="24"/>
          <w:szCs w:val="24"/>
        </w:rPr>
        <w:t>ed</w:t>
      </w:r>
      <w:r w:rsidRPr="004D58A5">
        <w:rPr>
          <w:sz w:val="24"/>
          <w:szCs w:val="24"/>
        </w:rPr>
        <w:t xml:space="preserve"> link prior to </w:t>
      </w:r>
      <w:r w:rsidR="004A2406" w:rsidRPr="004D58A5">
        <w:rPr>
          <w:sz w:val="24"/>
          <w:szCs w:val="24"/>
        </w:rPr>
        <w:t xml:space="preserve">the </w:t>
      </w:r>
      <w:r w:rsidRPr="004D58A5">
        <w:rPr>
          <w:sz w:val="24"/>
          <w:szCs w:val="24"/>
        </w:rPr>
        <w:t xml:space="preserve">lecture and </w:t>
      </w:r>
      <w:r w:rsidR="00286831" w:rsidRPr="004D58A5">
        <w:rPr>
          <w:sz w:val="24"/>
          <w:szCs w:val="24"/>
        </w:rPr>
        <w:t xml:space="preserve">using </w:t>
      </w:r>
      <w:r w:rsidRPr="004D58A5">
        <w:rPr>
          <w:sz w:val="24"/>
          <w:szCs w:val="24"/>
        </w:rPr>
        <w:t xml:space="preserve">a QR </w:t>
      </w:r>
      <w:r w:rsidR="001E4524" w:rsidRPr="004D58A5">
        <w:rPr>
          <w:sz w:val="24"/>
          <w:szCs w:val="24"/>
        </w:rPr>
        <w:t xml:space="preserve">code </w:t>
      </w:r>
      <w:r w:rsidRPr="004D58A5">
        <w:rPr>
          <w:sz w:val="24"/>
          <w:szCs w:val="24"/>
        </w:rPr>
        <w:t xml:space="preserve">at the conclusion of </w:t>
      </w:r>
      <w:r w:rsidR="00B94993" w:rsidRPr="004D58A5">
        <w:rPr>
          <w:sz w:val="24"/>
          <w:szCs w:val="24"/>
        </w:rPr>
        <w:t xml:space="preserve">the </w:t>
      </w:r>
      <w:r w:rsidRPr="004D58A5">
        <w:rPr>
          <w:sz w:val="24"/>
          <w:szCs w:val="24"/>
        </w:rPr>
        <w:t xml:space="preserve">lecture. </w:t>
      </w:r>
      <w:r w:rsidR="00840925" w:rsidRPr="004D58A5">
        <w:rPr>
          <w:sz w:val="24"/>
          <w:szCs w:val="24"/>
        </w:rPr>
        <w:t xml:space="preserve">The study </w:t>
      </w:r>
      <w:r w:rsidRPr="004D58A5">
        <w:rPr>
          <w:sz w:val="24"/>
          <w:szCs w:val="24"/>
        </w:rPr>
        <w:t xml:space="preserve">population included all </w:t>
      </w:r>
      <w:r w:rsidRPr="00FF332E">
        <w:rPr>
          <w:sz w:val="24"/>
          <w:szCs w:val="24"/>
        </w:rPr>
        <w:t xml:space="preserve">West Virginia University School of Medicine </w:t>
      </w:r>
      <w:r w:rsidR="00BA18D1" w:rsidRPr="00FF332E">
        <w:rPr>
          <w:sz w:val="24"/>
          <w:szCs w:val="24"/>
        </w:rPr>
        <w:t xml:space="preserve">(WVU </w:t>
      </w:r>
      <w:proofErr w:type="spellStart"/>
      <w:r w:rsidR="00BA18D1" w:rsidRPr="00FF332E">
        <w:rPr>
          <w:sz w:val="24"/>
          <w:szCs w:val="24"/>
        </w:rPr>
        <w:t>SoM</w:t>
      </w:r>
      <w:proofErr w:type="spellEnd"/>
      <w:r w:rsidR="00BA18D1" w:rsidRPr="00FF332E">
        <w:rPr>
          <w:sz w:val="24"/>
          <w:szCs w:val="24"/>
        </w:rPr>
        <w:t xml:space="preserve">) </w:t>
      </w:r>
      <w:r w:rsidRPr="00FF332E">
        <w:rPr>
          <w:sz w:val="24"/>
          <w:szCs w:val="24"/>
        </w:rPr>
        <w:t xml:space="preserve">third-year clerkship students, WVU </w:t>
      </w:r>
      <w:proofErr w:type="spellStart"/>
      <w:r w:rsidRPr="00FF332E">
        <w:rPr>
          <w:sz w:val="24"/>
          <w:szCs w:val="24"/>
        </w:rPr>
        <w:t>SoM</w:t>
      </w:r>
      <w:proofErr w:type="spellEnd"/>
      <w:r w:rsidRPr="00FF332E">
        <w:rPr>
          <w:sz w:val="24"/>
          <w:szCs w:val="24"/>
        </w:rPr>
        <w:t xml:space="preserve"> and West Virginia School of Osteopathic Medicine fourth-year </w:t>
      </w:r>
      <w:commentRangeStart w:id="5"/>
      <w:r w:rsidRPr="00FF332E">
        <w:rPr>
          <w:sz w:val="24"/>
          <w:szCs w:val="24"/>
        </w:rPr>
        <w:t xml:space="preserve">sub-internship </w:t>
      </w:r>
      <w:commentRangeEnd w:id="5"/>
      <w:r w:rsidR="00D9735C">
        <w:rPr>
          <w:rStyle w:val="CommentReference"/>
        </w:rPr>
        <w:commentReference w:id="5"/>
      </w:r>
      <w:r w:rsidRPr="00FF332E">
        <w:rPr>
          <w:sz w:val="24"/>
          <w:szCs w:val="24"/>
        </w:rPr>
        <w:t xml:space="preserve">medical students, and WVU School of Pharmacy </w:t>
      </w:r>
      <w:proofErr w:type="gramStart"/>
      <w:r w:rsidR="00BA18D1" w:rsidRPr="00FF332E">
        <w:rPr>
          <w:sz w:val="24"/>
          <w:szCs w:val="24"/>
        </w:rPr>
        <w:t>fourth-</w:t>
      </w:r>
      <w:r w:rsidRPr="00FF332E">
        <w:rPr>
          <w:sz w:val="24"/>
          <w:szCs w:val="24"/>
        </w:rPr>
        <w:t>year</w:t>
      </w:r>
      <w:proofErr w:type="gramEnd"/>
      <w:r w:rsidRPr="00FF332E">
        <w:rPr>
          <w:sz w:val="24"/>
          <w:szCs w:val="24"/>
        </w:rPr>
        <w:t xml:space="preserve"> PharmD students rotating in the WVU Department of Family Medicine </w:t>
      </w:r>
      <w:r w:rsidR="00BA18D1" w:rsidRPr="00FF332E">
        <w:rPr>
          <w:sz w:val="24"/>
          <w:szCs w:val="24"/>
        </w:rPr>
        <w:t xml:space="preserve">from February 22, 2022 through </w:t>
      </w:r>
      <w:r w:rsidR="00177C2D" w:rsidRPr="00FF332E">
        <w:rPr>
          <w:sz w:val="24"/>
          <w:szCs w:val="24"/>
        </w:rPr>
        <w:t>January 4, 2023</w:t>
      </w:r>
      <w:r w:rsidRPr="004D58A5">
        <w:rPr>
          <w:sz w:val="24"/>
          <w:szCs w:val="24"/>
        </w:rPr>
        <w:t xml:space="preserve">. The </w:t>
      </w:r>
      <w:r w:rsidRPr="00FF332E">
        <w:rPr>
          <w:sz w:val="24"/>
          <w:szCs w:val="24"/>
        </w:rPr>
        <w:t>survey</w:t>
      </w:r>
      <w:r w:rsidRPr="004D58A5">
        <w:rPr>
          <w:sz w:val="24"/>
          <w:szCs w:val="24"/>
        </w:rPr>
        <w:t xml:space="preserve"> instrument </w:t>
      </w:r>
      <w:r w:rsidR="00A46DEE" w:rsidRPr="004D58A5">
        <w:rPr>
          <w:sz w:val="24"/>
          <w:szCs w:val="24"/>
        </w:rPr>
        <w:t xml:space="preserve">assessed </w:t>
      </w:r>
      <w:r w:rsidRPr="004D58A5">
        <w:rPr>
          <w:sz w:val="24"/>
          <w:szCs w:val="24"/>
        </w:rPr>
        <w:t xml:space="preserve">knowledge of </w:t>
      </w:r>
      <w:r w:rsidR="00DA6AF9" w:rsidRPr="00FF332E">
        <w:rPr>
          <w:sz w:val="24"/>
          <w:szCs w:val="24"/>
        </w:rPr>
        <w:t>SDoH</w:t>
      </w:r>
      <w:r w:rsidRPr="00FF332E">
        <w:rPr>
          <w:sz w:val="24"/>
          <w:szCs w:val="24"/>
        </w:rPr>
        <w:t xml:space="preserve"> needs</w:t>
      </w:r>
      <w:r w:rsidRPr="004D58A5">
        <w:rPr>
          <w:sz w:val="24"/>
          <w:szCs w:val="24"/>
        </w:rPr>
        <w:t xml:space="preserve"> and the </w:t>
      </w:r>
      <w:r w:rsidRPr="00FF332E">
        <w:rPr>
          <w:sz w:val="24"/>
          <w:szCs w:val="24"/>
        </w:rPr>
        <w:t xml:space="preserve">AAFP </w:t>
      </w:r>
      <w:r w:rsidRPr="004D58A5">
        <w:rPr>
          <w:sz w:val="24"/>
          <w:szCs w:val="24"/>
        </w:rPr>
        <w:t>Neighborhood Navigator Tool</w:t>
      </w:r>
      <w:r w:rsidR="005C462D" w:rsidRPr="004D58A5">
        <w:rPr>
          <w:sz w:val="24"/>
          <w:szCs w:val="24"/>
        </w:rPr>
        <w:t xml:space="preserve"> </w:t>
      </w:r>
      <w:r w:rsidR="00D270FD" w:rsidRPr="00FF332E">
        <w:rPr>
          <w:sz w:val="24"/>
          <w:szCs w:val="24"/>
        </w:rPr>
        <w:t>utiliz</w:t>
      </w:r>
      <w:r w:rsidR="005C462D" w:rsidRPr="004D58A5">
        <w:rPr>
          <w:sz w:val="24"/>
          <w:szCs w:val="24"/>
        </w:rPr>
        <w:t>ing Likert-type (strongly agree to strongly disagree), multiple-choice, and open-ended questions.</w:t>
      </w:r>
      <w:r w:rsidR="00C71EBB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SAS Studio </w:t>
      </w:r>
      <w:r w:rsidR="009262AB" w:rsidRPr="001A01BF">
        <w:rPr>
          <w:sz w:val="24"/>
          <w:szCs w:val="24"/>
        </w:rPr>
        <w:t xml:space="preserve">3.8 </w:t>
      </w:r>
      <w:r w:rsidRPr="001A01BF">
        <w:rPr>
          <w:sz w:val="24"/>
          <w:szCs w:val="24"/>
        </w:rPr>
        <w:t xml:space="preserve">was used </w:t>
      </w:r>
      <w:r w:rsidR="007D4DDF">
        <w:rPr>
          <w:sz w:val="24"/>
          <w:szCs w:val="24"/>
        </w:rPr>
        <w:t>to compare</w:t>
      </w:r>
      <w:r w:rsidR="009262AB" w:rsidRPr="001A01BF">
        <w:rPr>
          <w:sz w:val="24"/>
          <w:szCs w:val="24"/>
        </w:rPr>
        <w:t xml:space="preserve"> pre-and post-test survey responses using Chi-square</w:t>
      </w:r>
      <w:r w:rsidR="0074464C" w:rsidRPr="001A01BF">
        <w:rPr>
          <w:sz w:val="24"/>
          <w:szCs w:val="24"/>
        </w:rPr>
        <w:t>d</w:t>
      </w:r>
      <w:r w:rsidR="009262AB" w:rsidRPr="001A01BF">
        <w:rPr>
          <w:sz w:val="24"/>
          <w:szCs w:val="24"/>
        </w:rPr>
        <w:t xml:space="preserve"> and Fisher’s exact tests. </w:t>
      </w:r>
    </w:p>
    <w:p w14:paraId="67652CB5" w14:textId="2F70FD03" w:rsidR="00330E9F" w:rsidRPr="001A01BF" w:rsidRDefault="00330E9F" w:rsidP="00BC02C1">
      <w:pPr>
        <w:spacing w:line="480" w:lineRule="auto"/>
        <w:rPr>
          <w:sz w:val="24"/>
          <w:szCs w:val="24"/>
        </w:rPr>
      </w:pPr>
    </w:p>
    <w:p w14:paraId="1CA72D17" w14:textId="5FA092F5" w:rsidR="00330E9F" w:rsidRPr="00FF332E" w:rsidRDefault="00330E9F" w:rsidP="00FF332E">
      <w:pPr>
        <w:keepNext/>
        <w:spacing w:line="480" w:lineRule="auto"/>
        <w:jc w:val="center"/>
        <w:rPr>
          <w:sz w:val="24"/>
          <w:szCs w:val="24"/>
          <w:u w:val="single"/>
        </w:rPr>
      </w:pPr>
      <w:r w:rsidRPr="00FF332E">
        <w:rPr>
          <w:sz w:val="24"/>
          <w:szCs w:val="24"/>
          <w:u w:val="single"/>
        </w:rPr>
        <w:lastRenderedPageBreak/>
        <w:t>RESULTS</w:t>
      </w:r>
    </w:p>
    <w:p w14:paraId="50C6A598" w14:textId="6CFA5405" w:rsidR="0008106A" w:rsidRPr="000B7DAC" w:rsidRDefault="00B077DD" w:rsidP="00375EC2">
      <w:pPr>
        <w:spacing w:line="480" w:lineRule="auto"/>
        <w:ind w:firstLine="720"/>
        <w:rPr>
          <w:sz w:val="24"/>
          <w:szCs w:val="24"/>
        </w:rPr>
      </w:pPr>
      <w:r w:rsidRPr="000B7DAC">
        <w:rPr>
          <w:iCs/>
          <w:sz w:val="24"/>
          <w:szCs w:val="24"/>
        </w:rPr>
        <w:t>Forty-six pre-tests and 30 post-tests were completed</w:t>
      </w:r>
      <w:r w:rsidR="00680676" w:rsidRPr="000B7DAC">
        <w:rPr>
          <w:iCs/>
          <w:sz w:val="24"/>
          <w:szCs w:val="24"/>
        </w:rPr>
        <w:t xml:space="preserve"> anonymously</w:t>
      </w:r>
      <w:r w:rsidRPr="000B7DAC">
        <w:rPr>
          <w:iCs/>
          <w:sz w:val="24"/>
          <w:szCs w:val="24"/>
        </w:rPr>
        <w:t xml:space="preserve"> </w:t>
      </w:r>
      <w:r w:rsidR="00D9402D" w:rsidRPr="000B7DAC">
        <w:rPr>
          <w:iCs/>
          <w:sz w:val="24"/>
          <w:szCs w:val="24"/>
        </w:rPr>
        <w:t xml:space="preserve">by </w:t>
      </w:r>
      <w:r w:rsidR="00C649F1" w:rsidRPr="000B7DAC">
        <w:rPr>
          <w:iCs/>
          <w:sz w:val="24"/>
          <w:szCs w:val="24"/>
        </w:rPr>
        <w:t>the</w:t>
      </w:r>
      <w:r w:rsidR="00D9402D" w:rsidRPr="000B7DAC">
        <w:rPr>
          <w:iCs/>
          <w:sz w:val="24"/>
          <w:szCs w:val="24"/>
        </w:rPr>
        <w:t xml:space="preserve"> students </w:t>
      </w:r>
      <w:r w:rsidRPr="000B7DAC">
        <w:rPr>
          <w:iCs/>
          <w:sz w:val="24"/>
          <w:szCs w:val="24"/>
        </w:rPr>
        <w:t>(</w:t>
      </w:r>
      <w:r w:rsidRPr="000B7DAC">
        <w:rPr>
          <w:b/>
          <w:bCs/>
          <w:iCs/>
          <w:sz w:val="24"/>
          <w:szCs w:val="24"/>
        </w:rPr>
        <w:t>Table 1</w:t>
      </w:r>
      <w:r w:rsidRPr="000B7DAC">
        <w:rPr>
          <w:iCs/>
          <w:sz w:val="24"/>
          <w:szCs w:val="24"/>
        </w:rPr>
        <w:t>)</w:t>
      </w:r>
      <w:r w:rsidR="006A3EE6" w:rsidRPr="000B7DAC">
        <w:rPr>
          <w:iCs/>
          <w:sz w:val="24"/>
          <w:szCs w:val="24"/>
        </w:rPr>
        <w:t>.</w:t>
      </w:r>
      <w:r w:rsidR="00375EC2" w:rsidRPr="000B7DAC">
        <w:rPr>
          <w:sz w:val="24"/>
          <w:szCs w:val="24"/>
        </w:rPr>
        <w:t xml:space="preserve"> </w:t>
      </w:r>
      <w:r w:rsidR="0008106A" w:rsidRPr="000B7DAC">
        <w:rPr>
          <w:sz w:val="24"/>
          <w:szCs w:val="24"/>
        </w:rPr>
        <w:t>Almost all participants (97.</w:t>
      </w:r>
      <w:r w:rsidR="004B47AB" w:rsidRPr="000B7DAC">
        <w:rPr>
          <w:sz w:val="24"/>
          <w:szCs w:val="24"/>
        </w:rPr>
        <w:t>8</w:t>
      </w:r>
      <w:r w:rsidR="0008106A" w:rsidRPr="000B7DAC">
        <w:rPr>
          <w:sz w:val="24"/>
          <w:szCs w:val="24"/>
        </w:rPr>
        <w:t xml:space="preserve">%) agreed or strongly agreed that SDoH present a barrier to care in some patients, and </w:t>
      </w:r>
      <w:r w:rsidR="004B47AB" w:rsidRPr="000B7DAC">
        <w:rPr>
          <w:sz w:val="24"/>
          <w:szCs w:val="24"/>
        </w:rPr>
        <w:t>90.0</w:t>
      </w:r>
      <w:r w:rsidR="0008106A" w:rsidRPr="000B7DAC">
        <w:rPr>
          <w:sz w:val="24"/>
          <w:szCs w:val="24"/>
        </w:rPr>
        <w:t>% agreed or strongly agreed that they would like to receive more training on health disparities/SDoH.</w:t>
      </w:r>
      <w:r w:rsidR="00E41126" w:rsidRPr="000B7DAC">
        <w:rPr>
          <w:sz w:val="24"/>
          <w:szCs w:val="24"/>
        </w:rPr>
        <w:t xml:space="preserve"> </w:t>
      </w:r>
      <w:r w:rsidR="006A3EE6" w:rsidRPr="000B7DAC">
        <w:rPr>
          <w:sz w:val="24"/>
          <w:szCs w:val="24"/>
        </w:rPr>
        <w:t>The</w:t>
      </w:r>
      <w:r w:rsidR="00602A08" w:rsidRPr="000B7DAC">
        <w:rPr>
          <w:sz w:val="24"/>
          <w:szCs w:val="24"/>
        </w:rPr>
        <w:t xml:space="preserve"> pre-</w:t>
      </w:r>
      <w:r w:rsidR="00E02538" w:rsidRPr="000B7DAC">
        <w:rPr>
          <w:sz w:val="24"/>
          <w:szCs w:val="24"/>
        </w:rPr>
        <w:t>test</w:t>
      </w:r>
      <w:r w:rsidR="00602A08" w:rsidRPr="000B7DAC">
        <w:rPr>
          <w:sz w:val="24"/>
          <w:szCs w:val="24"/>
        </w:rPr>
        <w:t xml:space="preserve"> </w:t>
      </w:r>
      <w:r w:rsidR="006A3EE6" w:rsidRPr="000B7DAC">
        <w:rPr>
          <w:sz w:val="24"/>
          <w:szCs w:val="24"/>
        </w:rPr>
        <w:t xml:space="preserve">revealed </w:t>
      </w:r>
      <w:r w:rsidR="00602A08" w:rsidRPr="000B7DAC">
        <w:rPr>
          <w:sz w:val="24"/>
          <w:szCs w:val="24"/>
        </w:rPr>
        <w:t xml:space="preserve">that </w:t>
      </w:r>
      <w:r w:rsidR="00B03138" w:rsidRPr="000B7DAC">
        <w:rPr>
          <w:sz w:val="24"/>
          <w:szCs w:val="24"/>
        </w:rPr>
        <w:t>85% of participants had previous exposure to the topic of SDoH</w:t>
      </w:r>
      <w:r w:rsidR="00602A08" w:rsidRPr="000B7DAC">
        <w:rPr>
          <w:sz w:val="24"/>
          <w:szCs w:val="24"/>
        </w:rPr>
        <w:t xml:space="preserve"> and</w:t>
      </w:r>
      <w:r w:rsidR="00A20ECA" w:rsidRPr="000B7DAC">
        <w:rPr>
          <w:sz w:val="24"/>
          <w:szCs w:val="24"/>
        </w:rPr>
        <w:t xml:space="preserve"> </w:t>
      </w:r>
      <w:r w:rsidR="00B03138" w:rsidRPr="000B7DAC">
        <w:rPr>
          <w:sz w:val="24"/>
          <w:szCs w:val="24"/>
        </w:rPr>
        <w:t xml:space="preserve">34% had heard of </w:t>
      </w:r>
      <w:r w:rsidR="003330E0" w:rsidRPr="000B7DAC">
        <w:rPr>
          <w:sz w:val="24"/>
          <w:szCs w:val="24"/>
        </w:rPr>
        <w:t xml:space="preserve">the </w:t>
      </w:r>
      <w:r w:rsidR="00B03138" w:rsidRPr="000B7DAC">
        <w:rPr>
          <w:sz w:val="24"/>
          <w:szCs w:val="24"/>
        </w:rPr>
        <w:t xml:space="preserve">AAFP Neighborhood Navigator Tool prior to </w:t>
      </w:r>
      <w:r w:rsidR="00602A08" w:rsidRPr="000B7DAC">
        <w:rPr>
          <w:sz w:val="24"/>
          <w:szCs w:val="24"/>
        </w:rPr>
        <w:t>the lecture</w:t>
      </w:r>
      <w:r w:rsidR="0076214A">
        <w:rPr>
          <w:sz w:val="24"/>
          <w:szCs w:val="24"/>
        </w:rPr>
        <w:t xml:space="preserve"> and small-group session</w:t>
      </w:r>
      <w:r w:rsidR="00B03138" w:rsidRPr="000B7DAC">
        <w:rPr>
          <w:sz w:val="24"/>
          <w:szCs w:val="24"/>
        </w:rPr>
        <w:t xml:space="preserve">. </w:t>
      </w:r>
    </w:p>
    <w:p w14:paraId="00704014" w14:textId="12DDF7EB" w:rsidR="00F30099" w:rsidRPr="001A01BF" w:rsidRDefault="008C0FE5" w:rsidP="00FF33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B7DAC">
        <w:rPr>
          <w:sz w:val="24"/>
          <w:szCs w:val="24"/>
        </w:rPr>
        <w:t xml:space="preserve">pre- and post-lecture </w:t>
      </w:r>
      <w:r>
        <w:rPr>
          <w:sz w:val="24"/>
          <w:szCs w:val="24"/>
        </w:rPr>
        <w:t xml:space="preserve">survey </w:t>
      </w:r>
      <w:r w:rsidRPr="000B7DAC">
        <w:rPr>
          <w:sz w:val="24"/>
          <w:szCs w:val="24"/>
        </w:rPr>
        <w:t xml:space="preserve">responses </w:t>
      </w:r>
      <w:r>
        <w:rPr>
          <w:sz w:val="24"/>
          <w:szCs w:val="24"/>
        </w:rPr>
        <w:t>indicated that th</w:t>
      </w:r>
      <w:r w:rsidR="00D846EB" w:rsidRPr="000B7DAC">
        <w:rPr>
          <w:sz w:val="24"/>
          <w:szCs w:val="24"/>
        </w:rPr>
        <w:t xml:space="preserve">e </w:t>
      </w:r>
      <w:r>
        <w:rPr>
          <w:sz w:val="24"/>
          <w:szCs w:val="24"/>
        </w:rPr>
        <w:t>learning</w:t>
      </w:r>
      <w:r w:rsidR="00D846EB" w:rsidRPr="000B7DAC">
        <w:rPr>
          <w:sz w:val="24"/>
          <w:szCs w:val="24"/>
        </w:rPr>
        <w:t xml:space="preserve"> activity improved</w:t>
      </w:r>
      <w:r w:rsidR="00454A38" w:rsidRPr="000B7DAC">
        <w:rPr>
          <w:sz w:val="24"/>
          <w:szCs w:val="24"/>
        </w:rPr>
        <w:t xml:space="preserve"> understanding of SDoH</w:t>
      </w:r>
      <w:r w:rsidR="00E40D0A">
        <w:rPr>
          <w:sz w:val="24"/>
          <w:szCs w:val="24"/>
        </w:rPr>
        <w:t xml:space="preserve"> (</w:t>
      </w:r>
      <w:r w:rsidR="00E40D0A" w:rsidRPr="00717325">
        <w:rPr>
          <w:b/>
          <w:bCs/>
          <w:sz w:val="24"/>
          <w:szCs w:val="24"/>
        </w:rPr>
        <w:t>Table 2</w:t>
      </w:r>
      <w:r w:rsidR="00E40D0A">
        <w:rPr>
          <w:sz w:val="24"/>
          <w:szCs w:val="24"/>
        </w:rPr>
        <w:t>)</w:t>
      </w:r>
      <w:r w:rsidR="00B03138" w:rsidRPr="000B7DAC">
        <w:rPr>
          <w:sz w:val="24"/>
          <w:szCs w:val="24"/>
        </w:rPr>
        <w:t xml:space="preserve">. </w:t>
      </w:r>
      <w:r w:rsidR="005A5B32" w:rsidRPr="000B7DAC">
        <w:rPr>
          <w:sz w:val="24"/>
          <w:szCs w:val="24"/>
        </w:rPr>
        <w:t>Prior to the lecture</w:t>
      </w:r>
      <w:r w:rsidR="006F3792" w:rsidRPr="000B7DAC">
        <w:rPr>
          <w:sz w:val="24"/>
          <w:szCs w:val="24"/>
        </w:rPr>
        <w:t>,</w:t>
      </w:r>
      <w:r w:rsidR="00B03138" w:rsidRPr="000B7DAC">
        <w:rPr>
          <w:sz w:val="24"/>
          <w:szCs w:val="24"/>
        </w:rPr>
        <w:t xml:space="preserve"> 34.</w:t>
      </w:r>
      <w:r w:rsidR="006F3792" w:rsidRPr="000B7DAC">
        <w:rPr>
          <w:sz w:val="24"/>
          <w:szCs w:val="24"/>
        </w:rPr>
        <w:t>8</w:t>
      </w:r>
      <w:r w:rsidR="00B03138" w:rsidRPr="000B7DAC">
        <w:rPr>
          <w:sz w:val="24"/>
          <w:szCs w:val="24"/>
        </w:rPr>
        <w:t xml:space="preserve">% of respondents </w:t>
      </w:r>
      <w:r w:rsidR="00602A08" w:rsidRPr="000B7DAC">
        <w:rPr>
          <w:sz w:val="24"/>
          <w:szCs w:val="24"/>
        </w:rPr>
        <w:t>either “</w:t>
      </w:r>
      <w:r w:rsidR="00B03138" w:rsidRPr="000B7DAC">
        <w:rPr>
          <w:sz w:val="24"/>
          <w:szCs w:val="24"/>
        </w:rPr>
        <w:t xml:space="preserve">agreed” or “strongly agreed” </w:t>
      </w:r>
      <w:r w:rsidR="005A5B32" w:rsidRPr="000B7DAC">
        <w:rPr>
          <w:sz w:val="24"/>
          <w:szCs w:val="24"/>
        </w:rPr>
        <w:t>that they had a comprehensive understanding of SDOH</w:t>
      </w:r>
      <w:r w:rsidR="00FD4C92" w:rsidRPr="000B7DAC">
        <w:rPr>
          <w:sz w:val="24"/>
          <w:szCs w:val="24"/>
        </w:rPr>
        <w:t xml:space="preserve"> as compared with</w:t>
      </w:r>
      <w:r w:rsidR="00B03138" w:rsidRPr="000B7DAC">
        <w:rPr>
          <w:sz w:val="24"/>
          <w:szCs w:val="24"/>
        </w:rPr>
        <w:t xml:space="preserve"> 86.2% </w:t>
      </w:r>
      <w:r w:rsidR="00264A0D" w:rsidRPr="000B7DAC">
        <w:rPr>
          <w:sz w:val="24"/>
          <w:szCs w:val="24"/>
        </w:rPr>
        <w:t>afterwards</w:t>
      </w:r>
      <w:r w:rsidR="005A5B32" w:rsidRPr="000B7DAC">
        <w:rPr>
          <w:sz w:val="24"/>
          <w:szCs w:val="24"/>
        </w:rPr>
        <w:t xml:space="preserve"> (</w:t>
      </w:r>
      <w:r w:rsidR="00013179" w:rsidRPr="000B7DAC">
        <w:rPr>
          <w:i/>
          <w:iCs/>
          <w:sz w:val="24"/>
          <w:szCs w:val="24"/>
        </w:rPr>
        <w:t>p</w:t>
      </w:r>
      <w:r w:rsidR="00013179" w:rsidRPr="000B7DAC">
        <w:rPr>
          <w:sz w:val="24"/>
          <w:szCs w:val="24"/>
        </w:rPr>
        <w:t>&lt;</w:t>
      </w:r>
      <w:r w:rsidR="0016135C" w:rsidRPr="000B7DAC">
        <w:rPr>
          <w:sz w:val="24"/>
          <w:szCs w:val="24"/>
        </w:rPr>
        <w:t>0</w:t>
      </w:r>
      <w:r w:rsidR="00013179" w:rsidRPr="000B7DAC">
        <w:rPr>
          <w:sz w:val="24"/>
          <w:szCs w:val="24"/>
        </w:rPr>
        <w:t>.001)</w:t>
      </w:r>
      <w:r w:rsidR="00B03138" w:rsidRPr="000B7DAC">
        <w:rPr>
          <w:sz w:val="24"/>
          <w:szCs w:val="24"/>
        </w:rPr>
        <w:t xml:space="preserve">.  </w:t>
      </w:r>
      <w:r w:rsidR="00013179" w:rsidRPr="000B7DAC">
        <w:rPr>
          <w:sz w:val="24"/>
          <w:szCs w:val="24"/>
        </w:rPr>
        <w:t>Similarly</w:t>
      </w:r>
      <w:r w:rsidR="0016135C" w:rsidRPr="000B7DAC">
        <w:rPr>
          <w:sz w:val="24"/>
          <w:szCs w:val="24"/>
        </w:rPr>
        <w:t>, more respondents</w:t>
      </w:r>
      <w:r w:rsidR="00B03138" w:rsidRPr="000B7DAC">
        <w:rPr>
          <w:sz w:val="24"/>
          <w:szCs w:val="24"/>
        </w:rPr>
        <w:t xml:space="preserve"> </w:t>
      </w:r>
      <w:r w:rsidR="0016135C" w:rsidRPr="000B7DAC">
        <w:rPr>
          <w:sz w:val="24"/>
          <w:szCs w:val="24"/>
        </w:rPr>
        <w:t xml:space="preserve">felt </w:t>
      </w:r>
      <w:r w:rsidR="00B03138" w:rsidRPr="000B7DAC">
        <w:rPr>
          <w:sz w:val="24"/>
          <w:szCs w:val="24"/>
        </w:rPr>
        <w:t xml:space="preserve">confident in </w:t>
      </w:r>
      <w:r w:rsidR="0016135C" w:rsidRPr="000B7DAC">
        <w:rPr>
          <w:sz w:val="24"/>
          <w:szCs w:val="24"/>
        </w:rPr>
        <w:t xml:space="preserve">their </w:t>
      </w:r>
      <w:r w:rsidR="00B03138" w:rsidRPr="000B7DAC">
        <w:rPr>
          <w:sz w:val="24"/>
          <w:szCs w:val="24"/>
        </w:rPr>
        <w:t>ability to refer patients to community resources addressing SDoH</w:t>
      </w:r>
      <w:r w:rsidR="0016135C" w:rsidRPr="000B7DAC">
        <w:rPr>
          <w:sz w:val="24"/>
          <w:szCs w:val="24"/>
        </w:rPr>
        <w:t xml:space="preserve"> after the learning activity than </w:t>
      </w:r>
      <w:r w:rsidR="00264A0D" w:rsidRPr="000B7DAC">
        <w:rPr>
          <w:sz w:val="24"/>
          <w:szCs w:val="24"/>
        </w:rPr>
        <w:t>before</w:t>
      </w:r>
      <w:r w:rsidR="00B03138" w:rsidRPr="000B7DAC">
        <w:rPr>
          <w:sz w:val="24"/>
          <w:szCs w:val="24"/>
        </w:rPr>
        <w:t xml:space="preserve"> (</w:t>
      </w:r>
      <w:r w:rsidR="00DB26A7" w:rsidRPr="000B7DAC">
        <w:rPr>
          <w:sz w:val="24"/>
          <w:szCs w:val="24"/>
        </w:rPr>
        <w:t xml:space="preserve">96.5% </w:t>
      </w:r>
      <w:r w:rsidR="00DB26A7">
        <w:rPr>
          <w:sz w:val="24"/>
          <w:szCs w:val="24"/>
        </w:rPr>
        <w:t xml:space="preserve"> vs </w:t>
      </w:r>
      <w:r w:rsidR="002C3B5E" w:rsidRPr="000B7DAC">
        <w:rPr>
          <w:sz w:val="24"/>
          <w:szCs w:val="24"/>
        </w:rPr>
        <w:t>23.9%,</w:t>
      </w:r>
      <w:r w:rsidR="002C3B5E" w:rsidRPr="000B7DAC">
        <w:rPr>
          <w:i/>
          <w:iCs/>
          <w:sz w:val="24"/>
          <w:szCs w:val="24"/>
        </w:rPr>
        <w:t xml:space="preserve"> </w:t>
      </w:r>
      <w:r w:rsidR="00B03138" w:rsidRPr="000B7DAC">
        <w:rPr>
          <w:i/>
          <w:iCs/>
          <w:sz w:val="24"/>
          <w:szCs w:val="24"/>
        </w:rPr>
        <w:t>p</w:t>
      </w:r>
      <w:r w:rsidR="00B03138" w:rsidRPr="000B7DAC">
        <w:rPr>
          <w:sz w:val="24"/>
          <w:szCs w:val="24"/>
        </w:rPr>
        <w:t xml:space="preserve"> &lt;</w:t>
      </w:r>
      <w:r w:rsidR="0016135C" w:rsidRPr="000B7DAC">
        <w:rPr>
          <w:sz w:val="24"/>
          <w:szCs w:val="24"/>
        </w:rPr>
        <w:t>0</w:t>
      </w:r>
      <w:r w:rsidR="00B03138" w:rsidRPr="000B7DAC">
        <w:rPr>
          <w:sz w:val="24"/>
          <w:szCs w:val="24"/>
        </w:rPr>
        <w:t xml:space="preserve">.001). </w:t>
      </w:r>
      <w:r w:rsidR="004C50E0" w:rsidRPr="000B7DAC">
        <w:rPr>
          <w:sz w:val="24"/>
          <w:szCs w:val="24"/>
        </w:rPr>
        <w:t>When a</w:t>
      </w:r>
      <w:r w:rsidR="00182508" w:rsidRPr="000B7DAC">
        <w:rPr>
          <w:sz w:val="24"/>
          <w:szCs w:val="24"/>
        </w:rPr>
        <w:t>sked whether</w:t>
      </w:r>
      <w:r w:rsidR="00B03138" w:rsidRPr="000B7DAC">
        <w:rPr>
          <w:sz w:val="24"/>
          <w:szCs w:val="24"/>
        </w:rPr>
        <w:t xml:space="preserve"> "Non-compliance may be masked as barriers to fulfilling SDoH”</w:t>
      </w:r>
      <w:r w:rsidR="00EB0508">
        <w:rPr>
          <w:sz w:val="24"/>
          <w:szCs w:val="24"/>
        </w:rPr>
        <w:t>,</w:t>
      </w:r>
      <w:r w:rsidR="00075C04" w:rsidRPr="000B7DAC">
        <w:rPr>
          <w:sz w:val="24"/>
          <w:szCs w:val="24"/>
        </w:rPr>
        <w:t xml:space="preserve"> </w:t>
      </w:r>
      <w:r w:rsidR="00EB0508">
        <w:rPr>
          <w:sz w:val="24"/>
          <w:szCs w:val="24"/>
        </w:rPr>
        <w:t xml:space="preserve">all </w:t>
      </w:r>
      <w:r w:rsidR="00075C04" w:rsidRPr="000B7DAC">
        <w:rPr>
          <w:sz w:val="24"/>
          <w:szCs w:val="24"/>
        </w:rPr>
        <w:t xml:space="preserve">participants who responded “disagree” or “neutral” in the pre-test </w:t>
      </w:r>
      <w:r w:rsidR="00A41D7B">
        <w:rPr>
          <w:sz w:val="24"/>
          <w:szCs w:val="24"/>
        </w:rPr>
        <w:t>responded</w:t>
      </w:r>
      <w:r w:rsidR="00A41D7B" w:rsidRPr="000B7DAC">
        <w:rPr>
          <w:sz w:val="24"/>
          <w:szCs w:val="24"/>
        </w:rPr>
        <w:t xml:space="preserve"> </w:t>
      </w:r>
      <w:r w:rsidR="00075C04" w:rsidRPr="000B7DAC">
        <w:rPr>
          <w:sz w:val="24"/>
          <w:szCs w:val="24"/>
        </w:rPr>
        <w:t>“agree</w:t>
      </w:r>
      <w:r w:rsidR="00331F14" w:rsidRPr="000B7DAC">
        <w:rPr>
          <w:sz w:val="24"/>
          <w:szCs w:val="24"/>
        </w:rPr>
        <w:t>/</w:t>
      </w:r>
      <w:r w:rsidR="00075C04" w:rsidRPr="000B7DAC">
        <w:rPr>
          <w:sz w:val="24"/>
          <w:szCs w:val="24"/>
        </w:rPr>
        <w:t>strongly agree” in the post-test</w:t>
      </w:r>
      <w:r w:rsidR="00B03138" w:rsidRPr="000B7DAC">
        <w:rPr>
          <w:sz w:val="24"/>
          <w:szCs w:val="24"/>
        </w:rPr>
        <w:t xml:space="preserve"> (</w:t>
      </w:r>
      <w:r w:rsidR="00B03138" w:rsidRPr="000B7DAC">
        <w:rPr>
          <w:i/>
          <w:iCs/>
          <w:sz w:val="24"/>
          <w:szCs w:val="24"/>
        </w:rPr>
        <w:t>p</w:t>
      </w:r>
      <w:r w:rsidR="00B03138" w:rsidRPr="000B7DAC">
        <w:rPr>
          <w:sz w:val="24"/>
          <w:szCs w:val="24"/>
        </w:rPr>
        <w:t>=0.</w:t>
      </w:r>
      <w:r w:rsidR="004B47AB" w:rsidRPr="000B7DAC">
        <w:rPr>
          <w:sz w:val="24"/>
          <w:szCs w:val="24"/>
        </w:rPr>
        <w:t>075</w:t>
      </w:r>
      <w:r w:rsidR="00B03138" w:rsidRPr="000B7DAC">
        <w:rPr>
          <w:sz w:val="24"/>
          <w:szCs w:val="24"/>
        </w:rPr>
        <w:t>).</w:t>
      </w:r>
      <w:r w:rsidR="00075C04" w:rsidRPr="000B7DAC">
        <w:rPr>
          <w:sz w:val="24"/>
          <w:szCs w:val="24"/>
        </w:rPr>
        <w:t xml:space="preserve"> </w:t>
      </w:r>
      <w:r w:rsidR="00F91115" w:rsidRPr="000B7DAC">
        <w:rPr>
          <w:sz w:val="24"/>
          <w:szCs w:val="24"/>
        </w:rPr>
        <w:t xml:space="preserve">This </w:t>
      </w:r>
      <w:r w:rsidR="00AB0E43" w:rsidRPr="000B7DAC">
        <w:rPr>
          <w:sz w:val="24"/>
          <w:szCs w:val="24"/>
        </w:rPr>
        <w:t>single</w:t>
      </w:r>
      <w:r w:rsidR="00F91115" w:rsidRPr="000B7DAC">
        <w:rPr>
          <w:sz w:val="24"/>
          <w:szCs w:val="24"/>
        </w:rPr>
        <w:t xml:space="preserve"> intervention</w:t>
      </w:r>
      <w:r w:rsidR="0087735D" w:rsidRPr="000B7DAC">
        <w:rPr>
          <w:sz w:val="24"/>
          <w:szCs w:val="24"/>
        </w:rPr>
        <w:t xml:space="preserve"> </w:t>
      </w:r>
      <w:r w:rsidR="00B03138" w:rsidRPr="000B7DAC">
        <w:rPr>
          <w:sz w:val="24"/>
          <w:szCs w:val="24"/>
        </w:rPr>
        <w:t>significant</w:t>
      </w:r>
      <w:r w:rsidR="00F91115" w:rsidRPr="000B7DAC">
        <w:rPr>
          <w:sz w:val="24"/>
          <w:szCs w:val="24"/>
        </w:rPr>
        <w:t xml:space="preserve">ly </w:t>
      </w:r>
      <w:r w:rsidR="00B03138" w:rsidRPr="000B7DAC">
        <w:rPr>
          <w:sz w:val="24"/>
          <w:szCs w:val="24"/>
        </w:rPr>
        <w:t>change</w:t>
      </w:r>
      <w:r w:rsidR="0087735D" w:rsidRPr="000B7DAC">
        <w:rPr>
          <w:sz w:val="24"/>
          <w:szCs w:val="24"/>
        </w:rPr>
        <w:t>d</w:t>
      </w:r>
      <w:r w:rsidR="00B03138" w:rsidRPr="000B7DAC">
        <w:rPr>
          <w:sz w:val="24"/>
          <w:szCs w:val="24"/>
        </w:rPr>
        <w:t xml:space="preserve"> </w:t>
      </w:r>
      <w:r w:rsidR="00333599" w:rsidRPr="000B7DAC">
        <w:rPr>
          <w:sz w:val="24"/>
          <w:szCs w:val="24"/>
        </w:rPr>
        <w:t>whether the respondents</w:t>
      </w:r>
      <w:r w:rsidR="00B03138" w:rsidRPr="000B7DAC">
        <w:rPr>
          <w:sz w:val="24"/>
          <w:szCs w:val="24"/>
        </w:rPr>
        <w:t xml:space="preserve"> </w:t>
      </w:r>
      <w:r w:rsidR="00333599" w:rsidRPr="000B7DAC">
        <w:rPr>
          <w:sz w:val="24"/>
          <w:szCs w:val="24"/>
        </w:rPr>
        <w:t xml:space="preserve">felt </w:t>
      </w:r>
      <w:r w:rsidR="00B03138" w:rsidRPr="000B7DAC">
        <w:rPr>
          <w:sz w:val="24"/>
          <w:szCs w:val="24"/>
        </w:rPr>
        <w:t xml:space="preserve">that </w:t>
      </w:r>
      <w:r w:rsidR="00011287" w:rsidRPr="000B7DAC">
        <w:rPr>
          <w:sz w:val="24"/>
          <w:szCs w:val="24"/>
        </w:rPr>
        <w:t xml:space="preserve">their </w:t>
      </w:r>
      <w:r w:rsidR="00B03138" w:rsidRPr="000B7DAC">
        <w:rPr>
          <w:sz w:val="24"/>
          <w:szCs w:val="24"/>
        </w:rPr>
        <w:t xml:space="preserve">medical school training adequately prepared </w:t>
      </w:r>
      <w:r w:rsidR="00011287" w:rsidRPr="000B7DAC">
        <w:rPr>
          <w:sz w:val="24"/>
          <w:szCs w:val="24"/>
        </w:rPr>
        <w:t xml:space="preserve">them </w:t>
      </w:r>
      <w:r w:rsidR="00B03138" w:rsidRPr="000B7DAC">
        <w:rPr>
          <w:sz w:val="24"/>
          <w:szCs w:val="24"/>
        </w:rPr>
        <w:t>to assist patients in addressing SDoH</w:t>
      </w:r>
      <w:r w:rsidR="006629BC" w:rsidRPr="000B7DAC">
        <w:rPr>
          <w:sz w:val="24"/>
          <w:szCs w:val="24"/>
        </w:rPr>
        <w:t xml:space="preserve"> </w:t>
      </w:r>
      <w:r w:rsidR="00B03138" w:rsidRPr="000B7DAC">
        <w:rPr>
          <w:sz w:val="24"/>
          <w:szCs w:val="24"/>
        </w:rPr>
        <w:t>(</w:t>
      </w:r>
      <w:r w:rsidR="006F33C0" w:rsidRPr="000B7DAC">
        <w:rPr>
          <w:sz w:val="24"/>
          <w:szCs w:val="24"/>
        </w:rPr>
        <w:t xml:space="preserve">37.0% agreed on the pre-test vs </w:t>
      </w:r>
      <w:r w:rsidR="004B47AB" w:rsidRPr="000B7DAC">
        <w:rPr>
          <w:sz w:val="24"/>
          <w:szCs w:val="24"/>
        </w:rPr>
        <w:t>63.0</w:t>
      </w:r>
      <w:r w:rsidR="006F33C0" w:rsidRPr="000B7DAC">
        <w:rPr>
          <w:sz w:val="24"/>
          <w:szCs w:val="24"/>
        </w:rPr>
        <w:t>% on the post-test</w:t>
      </w:r>
      <w:r w:rsidR="006F33C0" w:rsidRPr="000B7DAC">
        <w:rPr>
          <w:i/>
          <w:iCs/>
          <w:sz w:val="24"/>
          <w:szCs w:val="24"/>
        </w:rPr>
        <w:t xml:space="preserve">, </w:t>
      </w:r>
      <w:r w:rsidR="00B03138" w:rsidRPr="000B7DAC">
        <w:rPr>
          <w:i/>
          <w:iCs/>
          <w:sz w:val="24"/>
          <w:szCs w:val="24"/>
        </w:rPr>
        <w:t>p</w:t>
      </w:r>
      <w:r w:rsidR="00B03138" w:rsidRPr="000B7DAC">
        <w:rPr>
          <w:sz w:val="24"/>
          <w:szCs w:val="24"/>
        </w:rPr>
        <w:t>=0.</w:t>
      </w:r>
      <w:r w:rsidR="004B47AB" w:rsidRPr="000B7DAC">
        <w:rPr>
          <w:sz w:val="24"/>
          <w:szCs w:val="24"/>
        </w:rPr>
        <w:t>005</w:t>
      </w:r>
      <w:r w:rsidR="00B03138" w:rsidRPr="000B7DAC">
        <w:rPr>
          <w:sz w:val="24"/>
          <w:szCs w:val="24"/>
        </w:rPr>
        <w:t>).</w:t>
      </w:r>
      <w:r w:rsidR="00602A08" w:rsidRPr="000B7DAC">
        <w:rPr>
          <w:sz w:val="24"/>
          <w:szCs w:val="24"/>
        </w:rPr>
        <w:t xml:space="preserve"> </w:t>
      </w:r>
      <w:r w:rsidR="00B03138" w:rsidRPr="000B7DAC">
        <w:rPr>
          <w:sz w:val="24"/>
          <w:szCs w:val="24"/>
        </w:rPr>
        <w:t xml:space="preserve">There </w:t>
      </w:r>
      <w:r w:rsidR="00F91115" w:rsidRPr="000B7DAC">
        <w:rPr>
          <w:sz w:val="24"/>
          <w:szCs w:val="24"/>
        </w:rPr>
        <w:t xml:space="preserve">were </w:t>
      </w:r>
      <w:r w:rsidR="00B03138" w:rsidRPr="000B7DAC">
        <w:rPr>
          <w:sz w:val="24"/>
          <w:szCs w:val="24"/>
        </w:rPr>
        <w:t>no statistically significant change</w:t>
      </w:r>
      <w:r w:rsidR="00F91115" w:rsidRPr="000B7DAC">
        <w:rPr>
          <w:sz w:val="24"/>
          <w:szCs w:val="24"/>
        </w:rPr>
        <w:t>s</w:t>
      </w:r>
      <w:r w:rsidR="00B03138" w:rsidRPr="000B7DAC">
        <w:rPr>
          <w:sz w:val="24"/>
          <w:szCs w:val="24"/>
        </w:rPr>
        <w:t xml:space="preserve"> </w:t>
      </w:r>
      <w:r w:rsidR="00F91115" w:rsidRPr="000B7DAC">
        <w:rPr>
          <w:sz w:val="24"/>
          <w:szCs w:val="24"/>
        </w:rPr>
        <w:t xml:space="preserve">in responses </w:t>
      </w:r>
      <w:r w:rsidR="00B03138" w:rsidRPr="000B7DAC">
        <w:rPr>
          <w:sz w:val="24"/>
          <w:szCs w:val="24"/>
        </w:rPr>
        <w:t xml:space="preserve">for other attitude-related survey </w:t>
      </w:r>
      <w:r w:rsidR="00B03138" w:rsidRPr="00303953">
        <w:rPr>
          <w:sz w:val="24"/>
          <w:szCs w:val="24"/>
        </w:rPr>
        <w:t>questions</w:t>
      </w:r>
      <w:r w:rsidR="00F07513" w:rsidRPr="00717325">
        <w:rPr>
          <w:sz w:val="24"/>
          <w:szCs w:val="24"/>
        </w:rPr>
        <w:t xml:space="preserve"> or </w:t>
      </w:r>
      <w:r w:rsidR="008B78F4" w:rsidRPr="00303953">
        <w:rPr>
          <w:sz w:val="24"/>
          <w:szCs w:val="24"/>
        </w:rPr>
        <w:t xml:space="preserve">in responses </w:t>
      </w:r>
      <w:r w:rsidR="008F356C" w:rsidRPr="00303953">
        <w:rPr>
          <w:sz w:val="24"/>
          <w:szCs w:val="24"/>
        </w:rPr>
        <w:t>to</w:t>
      </w:r>
      <w:r w:rsidR="008B78F4" w:rsidRPr="00303953">
        <w:rPr>
          <w:sz w:val="24"/>
          <w:szCs w:val="24"/>
        </w:rPr>
        <w:t xml:space="preserve"> knowledge-related survey questions</w:t>
      </w:r>
      <w:r w:rsidR="00F43A32" w:rsidRPr="00303953">
        <w:rPr>
          <w:sz w:val="24"/>
          <w:szCs w:val="24"/>
        </w:rPr>
        <w:t xml:space="preserve"> (</w:t>
      </w:r>
      <w:r w:rsidR="00F43A32" w:rsidRPr="00717325">
        <w:rPr>
          <w:b/>
          <w:bCs/>
          <w:sz w:val="24"/>
          <w:szCs w:val="24"/>
        </w:rPr>
        <w:t>Table 2</w:t>
      </w:r>
      <w:r w:rsidR="00F43A32" w:rsidRPr="00303953">
        <w:rPr>
          <w:sz w:val="24"/>
          <w:szCs w:val="24"/>
        </w:rPr>
        <w:t>)</w:t>
      </w:r>
      <w:r w:rsidR="008B78F4" w:rsidRPr="00303953">
        <w:rPr>
          <w:sz w:val="24"/>
          <w:szCs w:val="24"/>
        </w:rPr>
        <w:t>.</w:t>
      </w:r>
      <w:r w:rsidR="008B78F4" w:rsidRPr="001A01BF">
        <w:rPr>
          <w:sz w:val="24"/>
          <w:szCs w:val="24"/>
        </w:rPr>
        <w:t xml:space="preserve"> </w:t>
      </w:r>
    </w:p>
    <w:p w14:paraId="2E32B9CA" w14:textId="426B6F60" w:rsidR="00330E9F" w:rsidRPr="001A01BF" w:rsidRDefault="00CC3491" w:rsidP="00FF332E">
      <w:pPr>
        <w:spacing w:line="480" w:lineRule="auto"/>
        <w:ind w:firstLine="720"/>
        <w:rPr>
          <w:noProof/>
          <w:sz w:val="24"/>
          <w:szCs w:val="24"/>
        </w:rPr>
      </w:pPr>
      <w:r w:rsidRPr="001A01BF">
        <w:rPr>
          <w:sz w:val="24"/>
          <w:szCs w:val="24"/>
        </w:rPr>
        <w:lastRenderedPageBreak/>
        <w:t xml:space="preserve">All participants agreed or strongly agreed that the Neighborhood Navigator </w:t>
      </w:r>
      <w:r w:rsidR="00BF727B">
        <w:rPr>
          <w:sz w:val="24"/>
          <w:szCs w:val="24"/>
        </w:rPr>
        <w:t>tool</w:t>
      </w:r>
      <w:r w:rsidR="00CA170A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>would be impactful in discharge planning with patients</w:t>
      </w:r>
      <w:r>
        <w:rPr>
          <w:sz w:val="24"/>
          <w:szCs w:val="24"/>
        </w:rPr>
        <w:t xml:space="preserve">. </w:t>
      </w:r>
      <w:r w:rsidRPr="001A01BF">
        <w:rPr>
          <w:sz w:val="24"/>
          <w:szCs w:val="24"/>
        </w:rPr>
        <w:t xml:space="preserve">Participants cited ease of use (n=7, 26.9%) and volume of resources (n=10, 38.5%) as the most surprising aspects of the Neighborhood Navigator tool.  </w:t>
      </w:r>
      <w:r w:rsidR="003C6AE4">
        <w:rPr>
          <w:sz w:val="24"/>
          <w:szCs w:val="24"/>
        </w:rPr>
        <w:t xml:space="preserve">When </w:t>
      </w:r>
      <w:r w:rsidR="003C6AE4">
        <w:rPr>
          <w:noProof/>
          <w:sz w:val="24"/>
          <w:szCs w:val="24"/>
        </w:rPr>
        <w:t xml:space="preserve">the students </w:t>
      </w:r>
      <w:r w:rsidR="00914F82">
        <w:rPr>
          <w:noProof/>
          <w:sz w:val="24"/>
          <w:szCs w:val="24"/>
        </w:rPr>
        <w:t>were asked</w:t>
      </w:r>
      <w:r w:rsidR="00914F82" w:rsidRPr="001A01BF">
        <w:rPr>
          <w:noProof/>
          <w:sz w:val="24"/>
          <w:szCs w:val="24"/>
        </w:rPr>
        <w:t xml:space="preserve"> </w:t>
      </w:r>
      <w:r w:rsidR="00B03138" w:rsidRPr="001A01BF">
        <w:rPr>
          <w:noProof/>
          <w:sz w:val="24"/>
          <w:szCs w:val="24"/>
        </w:rPr>
        <w:t xml:space="preserve">which features of the Neighborhood Navigator Tool were most applicable </w:t>
      </w:r>
      <w:r w:rsidR="00312D6E">
        <w:rPr>
          <w:noProof/>
          <w:sz w:val="24"/>
          <w:szCs w:val="24"/>
        </w:rPr>
        <w:t>to</w:t>
      </w:r>
      <w:r w:rsidR="00312D6E" w:rsidRPr="001A01BF">
        <w:rPr>
          <w:noProof/>
          <w:sz w:val="24"/>
          <w:szCs w:val="24"/>
        </w:rPr>
        <w:t xml:space="preserve"> </w:t>
      </w:r>
      <w:r w:rsidR="00B03138" w:rsidRPr="001A01BF">
        <w:rPr>
          <w:noProof/>
          <w:sz w:val="24"/>
          <w:szCs w:val="24"/>
        </w:rPr>
        <w:t>their patient</w:t>
      </w:r>
      <w:r w:rsidR="00E54FE7">
        <w:rPr>
          <w:noProof/>
          <w:sz w:val="24"/>
          <w:szCs w:val="24"/>
        </w:rPr>
        <w:t>s,</w:t>
      </w:r>
      <w:r w:rsidR="00312D6E">
        <w:rPr>
          <w:noProof/>
          <w:sz w:val="24"/>
          <w:szCs w:val="24"/>
        </w:rPr>
        <w:t xml:space="preserve"> </w:t>
      </w:r>
      <w:r w:rsidR="00E54FE7">
        <w:rPr>
          <w:noProof/>
          <w:sz w:val="24"/>
          <w:szCs w:val="24"/>
        </w:rPr>
        <w:t xml:space="preserve">the </w:t>
      </w:r>
      <w:r w:rsidR="00B03138" w:rsidRPr="001A01BF">
        <w:rPr>
          <w:noProof/>
          <w:sz w:val="24"/>
          <w:szCs w:val="24"/>
        </w:rPr>
        <w:t>top items referenced were</w:t>
      </w:r>
      <w:r w:rsidR="008F5535" w:rsidRPr="001A01BF">
        <w:rPr>
          <w:noProof/>
          <w:sz w:val="24"/>
          <w:szCs w:val="24"/>
        </w:rPr>
        <w:t xml:space="preserve"> </w:t>
      </w:r>
      <w:r w:rsidR="00B03138" w:rsidRPr="001A01BF">
        <w:rPr>
          <w:noProof/>
          <w:sz w:val="24"/>
          <w:szCs w:val="24"/>
        </w:rPr>
        <w:t>transportation services (35.3%)</w:t>
      </w:r>
      <w:r w:rsidR="00860290" w:rsidRPr="001A01BF">
        <w:rPr>
          <w:noProof/>
          <w:sz w:val="24"/>
          <w:szCs w:val="24"/>
        </w:rPr>
        <w:t>,</w:t>
      </w:r>
      <w:r w:rsidR="00B03138" w:rsidRPr="001A01BF">
        <w:rPr>
          <w:noProof/>
          <w:sz w:val="24"/>
          <w:szCs w:val="24"/>
        </w:rPr>
        <w:t xml:space="preserve"> medication cost assistance (17.6%)</w:t>
      </w:r>
      <w:r w:rsidR="00860290" w:rsidRPr="001A01BF">
        <w:rPr>
          <w:noProof/>
          <w:sz w:val="24"/>
          <w:szCs w:val="24"/>
        </w:rPr>
        <w:t>,</w:t>
      </w:r>
      <w:r w:rsidR="00B03138" w:rsidRPr="001A01BF">
        <w:rPr>
          <w:noProof/>
          <w:sz w:val="24"/>
          <w:szCs w:val="24"/>
        </w:rPr>
        <w:t xml:space="preserve"> and medical supplies or home health services (14.7%). (</w:t>
      </w:r>
      <w:r w:rsidR="00B03138" w:rsidRPr="001A01BF">
        <w:rPr>
          <w:b/>
          <w:bCs/>
          <w:noProof/>
          <w:sz w:val="24"/>
          <w:szCs w:val="24"/>
        </w:rPr>
        <w:t xml:space="preserve">Table </w:t>
      </w:r>
      <w:r w:rsidR="00E54FE7">
        <w:rPr>
          <w:b/>
          <w:bCs/>
          <w:noProof/>
          <w:sz w:val="24"/>
          <w:szCs w:val="24"/>
        </w:rPr>
        <w:t>3</w:t>
      </w:r>
      <w:r w:rsidR="00B03138" w:rsidRPr="001A01BF">
        <w:rPr>
          <w:noProof/>
          <w:sz w:val="24"/>
          <w:szCs w:val="24"/>
        </w:rPr>
        <w:t xml:space="preserve">). </w:t>
      </w:r>
    </w:p>
    <w:p w14:paraId="1EA26D50" w14:textId="08DBD1DE" w:rsidR="00330E9F" w:rsidRPr="00FF332E" w:rsidRDefault="00330E9F" w:rsidP="00FF332E">
      <w:pPr>
        <w:keepNext/>
        <w:spacing w:line="480" w:lineRule="auto"/>
        <w:jc w:val="center"/>
        <w:rPr>
          <w:sz w:val="24"/>
          <w:szCs w:val="24"/>
          <w:u w:val="single"/>
        </w:rPr>
      </w:pPr>
      <w:r w:rsidRPr="00FF332E">
        <w:rPr>
          <w:sz w:val="24"/>
          <w:szCs w:val="24"/>
          <w:u w:val="single"/>
        </w:rPr>
        <w:t>CONCLUSIONS</w:t>
      </w:r>
    </w:p>
    <w:p w14:paraId="40060940" w14:textId="7E7902DE" w:rsidR="0014203C" w:rsidRDefault="00A20ECA" w:rsidP="00F94DDC">
      <w:pPr>
        <w:spacing w:line="480" w:lineRule="auto"/>
        <w:ind w:firstLine="720"/>
        <w:rPr>
          <w:sz w:val="24"/>
          <w:szCs w:val="24"/>
        </w:rPr>
      </w:pPr>
      <w:r w:rsidRPr="001A01BF">
        <w:rPr>
          <w:sz w:val="24"/>
          <w:szCs w:val="24"/>
        </w:rPr>
        <w:t>The results of the pre- and post-</w:t>
      </w:r>
      <w:r w:rsidR="0037009C">
        <w:rPr>
          <w:sz w:val="24"/>
          <w:szCs w:val="24"/>
        </w:rPr>
        <w:t xml:space="preserve">lecture </w:t>
      </w:r>
      <w:r w:rsidRPr="001A01BF">
        <w:rPr>
          <w:sz w:val="24"/>
          <w:szCs w:val="24"/>
        </w:rPr>
        <w:t>assessment</w:t>
      </w:r>
      <w:r w:rsidR="0037009C">
        <w:rPr>
          <w:sz w:val="24"/>
          <w:szCs w:val="24"/>
        </w:rPr>
        <w:t>s</w:t>
      </w:r>
      <w:r w:rsidRPr="001A01BF">
        <w:rPr>
          <w:sz w:val="24"/>
          <w:szCs w:val="24"/>
        </w:rPr>
        <w:t xml:space="preserve"> suggest that while medical and pharmacy students are familiar with the topic of SDoH, very few are confident in their ability to refer patients to community resources addressing </w:t>
      </w:r>
      <w:r w:rsidR="009A2C18" w:rsidRPr="001A01BF">
        <w:rPr>
          <w:sz w:val="24"/>
          <w:szCs w:val="24"/>
        </w:rPr>
        <w:t>barriers to care</w:t>
      </w:r>
      <w:r w:rsidRPr="001A01BF">
        <w:rPr>
          <w:sz w:val="24"/>
          <w:szCs w:val="24"/>
        </w:rPr>
        <w:t xml:space="preserve">. </w:t>
      </w:r>
      <w:r w:rsidR="00F004FE">
        <w:rPr>
          <w:sz w:val="24"/>
          <w:szCs w:val="24"/>
        </w:rPr>
        <w:t>SDoH</w:t>
      </w:r>
      <w:r w:rsidRPr="001A01BF">
        <w:rPr>
          <w:sz w:val="24"/>
          <w:szCs w:val="24"/>
        </w:rPr>
        <w:t xml:space="preserve"> </w:t>
      </w:r>
      <w:r w:rsidR="00A005B4" w:rsidRPr="001A01BF">
        <w:rPr>
          <w:sz w:val="24"/>
          <w:szCs w:val="24"/>
        </w:rPr>
        <w:t xml:space="preserve">is </w:t>
      </w:r>
      <w:r w:rsidRPr="001A01BF">
        <w:rPr>
          <w:sz w:val="24"/>
          <w:szCs w:val="24"/>
        </w:rPr>
        <w:t xml:space="preserve">an area of opportunity in medical and pharmacy </w:t>
      </w:r>
      <w:r w:rsidR="00E10EE8" w:rsidRPr="001A01BF">
        <w:rPr>
          <w:sz w:val="24"/>
          <w:szCs w:val="24"/>
        </w:rPr>
        <w:t>curricul</w:t>
      </w:r>
      <w:r w:rsidR="00E10EE8">
        <w:rPr>
          <w:sz w:val="24"/>
          <w:szCs w:val="24"/>
        </w:rPr>
        <w:t>a</w:t>
      </w:r>
      <w:r w:rsidR="00E10EE8" w:rsidRPr="001A01BF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 xml:space="preserve">as </w:t>
      </w:r>
      <w:r w:rsidR="000A45F1" w:rsidRPr="001A01BF">
        <w:rPr>
          <w:sz w:val="24"/>
          <w:szCs w:val="24"/>
        </w:rPr>
        <w:t>only one-third of</w:t>
      </w:r>
      <w:r w:rsidRPr="001A01BF">
        <w:rPr>
          <w:sz w:val="24"/>
          <w:szCs w:val="24"/>
        </w:rPr>
        <w:t xml:space="preserve"> </w:t>
      </w:r>
      <w:r w:rsidR="000A45F1" w:rsidRPr="001A01BF">
        <w:rPr>
          <w:sz w:val="24"/>
          <w:szCs w:val="24"/>
        </w:rPr>
        <w:t>participants</w:t>
      </w:r>
      <w:r w:rsidRPr="001A01BF">
        <w:rPr>
          <w:sz w:val="24"/>
          <w:szCs w:val="24"/>
        </w:rPr>
        <w:t xml:space="preserve"> felt prepared to assist patients in addressing SDoH</w:t>
      </w:r>
      <w:r w:rsidR="00A005B4" w:rsidRPr="001A01BF">
        <w:rPr>
          <w:sz w:val="24"/>
          <w:szCs w:val="24"/>
        </w:rPr>
        <w:t>,</w:t>
      </w:r>
      <w:r w:rsidR="00C63FDD" w:rsidRPr="001A01BF">
        <w:rPr>
          <w:sz w:val="24"/>
          <w:szCs w:val="24"/>
        </w:rPr>
        <w:t xml:space="preserve"> and </w:t>
      </w:r>
      <w:r w:rsidR="000A45F1" w:rsidRPr="001A01BF">
        <w:rPr>
          <w:sz w:val="24"/>
          <w:szCs w:val="24"/>
        </w:rPr>
        <w:t>most</w:t>
      </w:r>
      <w:r w:rsidR="00C63FDD" w:rsidRPr="001A01BF">
        <w:rPr>
          <w:sz w:val="24"/>
          <w:szCs w:val="24"/>
        </w:rPr>
        <w:t xml:space="preserve"> participants reported they would like to receive additional training</w:t>
      </w:r>
      <w:r w:rsidR="00AE0A9E">
        <w:rPr>
          <w:sz w:val="24"/>
          <w:szCs w:val="24"/>
        </w:rPr>
        <w:t>.</w:t>
      </w:r>
      <w:r w:rsidR="00322A83">
        <w:rPr>
          <w:sz w:val="24"/>
          <w:szCs w:val="24"/>
        </w:rPr>
        <w:t xml:space="preserve"> </w:t>
      </w:r>
      <w:r w:rsidRPr="001A01BF">
        <w:rPr>
          <w:sz w:val="24"/>
          <w:szCs w:val="24"/>
        </w:rPr>
        <w:t>The pre-</w:t>
      </w:r>
      <w:r w:rsidR="00F004FE">
        <w:rPr>
          <w:sz w:val="24"/>
          <w:szCs w:val="24"/>
        </w:rPr>
        <w:t xml:space="preserve">lecture </w:t>
      </w:r>
      <w:r w:rsidRPr="001A01BF">
        <w:rPr>
          <w:sz w:val="24"/>
          <w:szCs w:val="24"/>
        </w:rPr>
        <w:t>assessment found that f</w:t>
      </w:r>
      <w:r w:rsidR="000A45F1" w:rsidRPr="001A01BF">
        <w:rPr>
          <w:sz w:val="24"/>
          <w:szCs w:val="24"/>
        </w:rPr>
        <w:t>ew</w:t>
      </w:r>
      <w:r w:rsidRPr="001A01BF">
        <w:rPr>
          <w:sz w:val="24"/>
          <w:szCs w:val="24"/>
        </w:rPr>
        <w:t xml:space="preserve"> participants were familiar with the Neighborhood Navigator Tool</w:t>
      </w:r>
      <w:r w:rsidR="00F004FE">
        <w:rPr>
          <w:sz w:val="24"/>
          <w:szCs w:val="24"/>
        </w:rPr>
        <w:t>,</w:t>
      </w:r>
      <w:r w:rsidRPr="001A01BF">
        <w:rPr>
          <w:sz w:val="24"/>
          <w:szCs w:val="24"/>
        </w:rPr>
        <w:t xml:space="preserve"> and the post-</w:t>
      </w:r>
      <w:r w:rsidR="00F004FE">
        <w:rPr>
          <w:sz w:val="24"/>
          <w:szCs w:val="24"/>
        </w:rPr>
        <w:t xml:space="preserve">lecture </w:t>
      </w:r>
      <w:r w:rsidRPr="001A01BF">
        <w:rPr>
          <w:sz w:val="24"/>
          <w:szCs w:val="24"/>
        </w:rPr>
        <w:t xml:space="preserve">assessment found that </w:t>
      </w:r>
      <w:r w:rsidR="000A45F1" w:rsidRPr="001A01BF">
        <w:rPr>
          <w:sz w:val="24"/>
          <w:szCs w:val="24"/>
        </w:rPr>
        <w:t>all participants</w:t>
      </w:r>
      <w:r w:rsidR="00C63FDD" w:rsidRPr="001A01BF">
        <w:rPr>
          <w:sz w:val="24"/>
          <w:szCs w:val="24"/>
        </w:rPr>
        <w:t xml:space="preserve"> </w:t>
      </w:r>
      <w:r w:rsidR="000A45F1" w:rsidRPr="001A01BF">
        <w:rPr>
          <w:sz w:val="24"/>
          <w:szCs w:val="24"/>
        </w:rPr>
        <w:t xml:space="preserve">thought it would be impactful in discharge planning. </w:t>
      </w:r>
    </w:p>
    <w:p w14:paraId="48EAF34D" w14:textId="06B5C840" w:rsidR="000D4CFF" w:rsidRPr="001A01BF" w:rsidRDefault="000D4CFF" w:rsidP="000D4CFF">
      <w:pPr>
        <w:spacing w:line="480" w:lineRule="auto"/>
        <w:ind w:firstLine="720"/>
        <w:rPr>
          <w:noProof/>
          <w:sz w:val="24"/>
          <w:szCs w:val="24"/>
        </w:rPr>
      </w:pPr>
      <w:r w:rsidRPr="000B7DAC">
        <w:rPr>
          <w:rFonts w:cstheme="minorHAnsi"/>
          <w:sz w:val="24"/>
          <w:szCs w:val="24"/>
        </w:rPr>
        <w:t xml:space="preserve">Study limitations include a small number of pharmacy students </w:t>
      </w:r>
      <w:r w:rsidR="0078350A">
        <w:rPr>
          <w:rFonts w:cstheme="minorHAnsi"/>
          <w:sz w:val="24"/>
          <w:szCs w:val="24"/>
        </w:rPr>
        <w:t>relative</w:t>
      </w:r>
      <w:r w:rsidRPr="000B7DAC">
        <w:rPr>
          <w:rFonts w:cstheme="minorHAnsi"/>
          <w:sz w:val="24"/>
          <w:szCs w:val="24"/>
        </w:rPr>
        <w:t xml:space="preserve"> to medical students, making it difficult to </w:t>
      </w:r>
      <w:r w:rsidR="007F05F9">
        <w:rPr>
          <w:rFonts w:cstheme="minorHAnsi"/>
          <w:sz w:val="24"/>
          <w:szCs w:val="24"/>
        </w:rPr>
        <w:t>infer</w:t>
      </w:r>
      <w:r w:rsidRPr="000B7DAC">
        <w:rPr>
          <w:rFonts w:cstheme="minorHAnsi"/>
          <w:sz w:val="24"/>
          <w:szCs w:val="24"/>
        </w:rPr>
        <w:t xml:space="preserve"> utility for other professional programs, although </w:t>
      </w:r>
      <w:r w:rsidR="00B24A35">
        <w:rPr>
          <w:rFonts w:cstheme="minorHAnsi"/>
          <w:sz w:val="24"/>
          <w:szCs w:val="24"/>
        </w:rPr>
        <w:t xml:space="preserve">the intervention </w:t>
      </w:r>
      <w:r w:rsidRPr="000B7DAC">
        <w:rPr>
          <w:rFonts w:cstheme="minorHAnsi"/>
          <w:sz w:val="24"/>
          <w:szCs w:val="24"/>
        </w:rPr>
        <w:t>significant</w:t>
      </w:r>
      <w:r w:rsidR="007F05F9">
        <w:rPr>
          <w:rFonts w:cstheme="minorHAnsi"/>
          <w:sz w:val="24"/>
          <w:szCs w:val="24"/>
        </w:rPr>
        <w:t>ly</w:t>
      </w:r>
      <w:r w:rsidRPr="000B7DAC">
        <w:rPr>
          <w:rFonts w:cstheme="minorHAnsi"/>
          <w:sz w:val="24"/>
          <w:szCs w:val="24"/>
        </w:rPr>
        <w:t xml:space="preserve"> improve</w:t>
      </w:r>
      <w:r w:rsidR="0042349B">
        <w:rPr>
          <w:rFonts w:cstheme="minorHAnsi"/>
          <w:sz w:val="24"/>
          <w:szCs w:val="24"/>
        </w:rPr>
        <w:t>d</w:t>
      </w:r>
      <w:r w:rsidRPr="000B7DAC">
        <w:rPr>
          <w:rFonts w:cstheme="minorHAnsi"/>
          <w:sz w:val="24"/>
          <w:szCs w:val="24"/>
        </w:rPr>
        <w:t xml:space="preserve"> </w:t>
      </w:r>
      <w:r w:rsidR="0042349B" w:rsidRPr="000B7DAC">
        <w:rPr>
          <w:rFonts w:cstheme="minorHAnsi"/>
          <w:sz w:val="24"/>
          <w:szCs w:val="24"/>
        </w:rPr>
        <w:t>the pharmacy student</w:t>
      </w:r>
      <w:r w:rsidR="0042349B">
        <w:rPr>
          <w:rFonts w:cstheme="minorHAnsi"/>
          <w:sz w:val="24"/>
          <w:szCs w:val="24"/>
        </w:rPr>
        <w:t xml:space="preserve">s’ </w:t>
      </w:r>
      <w:r w:rsidRPr="000B7DAC">
        <w:rPr>
          <w:rFonts w:cstheme="minorHAnsi"/>
          <w:sz w:val="24"/>
          <w:szCs w:val="24"/>
        </w:rPr>
        <w:t xml:space="preserve">understanding of SDoH. </w:t>
      </w:r>
      <w:r w:rsidR="00081E38">
        <w:rPr>
          <w:rFonts w:cstheme="minorHAnsi"/>
          <w:sz w:val="24"/>
          <w:szCs w:val="24"/>
        </w:rPr>
        <w:t>The</w:t>
      </w:r>
      <w:r w:rsidRPr="000B7DAC">
        <w:rPr>
          <w:rFonts w:cstheme="minorHAnsi"/>
          <w:sz w:val="24"/>
          <w:szCs w:val="24"/>
        </w:rPr>
        <w:t xml:space="preserve"> lasting impact of the </w:t>
      </w:r>
      <w:r w:rsidR="00515125">
        <w:rPr>
          <w:rFonts w:cstheme="minorHAnsi"/>
          <w:sz w:val="24"/>
          <w:szCs w:val="24"/>
        </w:rPr>
        <w:t>intervention will need to be assessed</w:t>
      </w:r>
      <w:r w:rsidRPr="000B7DAC">
        <w:rPr>
          <w:rFonts w:cstheme="minorHAnsi"/>
          <w:sz w:val="24"/>
          <w:szCs w:val="24"/>
        </w:rPr>
        <w:t xml:space="preserve"> by surveying learners later in</w:t>
      </w:r>
      <w:r w:rsidR="00194548">
        <w:rPr>
          <w:rFonts w:cstheme="minorHAnsi"/>
          <w:sz w:val="24"/>
          <w:szCs w:val="24"/>
        </w:rPr>
        <w:t xml:space="preserve"> their</w:t>
      </w:r>
      <w:r w:rsidRPr="000B7DAC">
        <w:rPr>
          <w:rFonts w:cstheme="minorHAnsi"/>
          <w:sz w:val="24"/>
          <w:szCs w:val="24"/>
        </w:rPr>
        <w:t xml:space="preserve"> clinical training.</w:t>
      </w:r>
    </w:p>
    <w:p w14:paraId="740EF54E" w14:textId="6DB282BB" w:rsidR="00330E9F" w:rsidRPr="001A01BF" w:rsidRDefault="009A2C18" w:rsidP="00FF332E">
      <w:pPr>
        <w:spacing w:line="480" w:lineRule="auto"/>
        <w:ind w:firstLine="720"/>
        <w:rPr>
          <w:sz w:val="24"/>
          <w:szCs w:val="24"/>
        </w:rPr>
      </w:pPr>
      <w:r w:rsidRPr="001A01BF">
        <w:rPr>
          <w:sz w:val="24"/>
          <w:szCs w:val="24"/>
        </w:rPr>
        <w:lastRenderedPageBreak/>
        <w:t xml:space="preserve">While </w:t>
      </w:r>
      <w:r w:rsidR="00890B5F" w:rsidRPr="001A01BF">
        <w:rPr>
          <w:sz w:val="24"/>
          <w:szCs w:val="24"/>
        </w:rPr>
        <w:t>SDoH are major contributor</w:t>
      </w:r>
      <w:r w:rsidR="0014203C">
        <w:rPr>
          <w:sz w:val="24"/>
          <w:szCs w:val="24"/>
        </w:rPr>
        <w:t>s</w:t>
      </w:r>
      <w:r w:rsidR="00890B5F" w:rsidRPr="001A01BF">
        <w:rPr>
          <w:sz w:val="24"/>
          <w:szCs w:val="24"/>
        </w:rPr>
        <w:t xml:space="preserve"> to healthcare outcomes and are </w:t>
      </w:r>
      <w:r w:rsidRPr="001A01BF">
        <w:rPr>
          <w:sz w:val="24"/>
          <w:szCs w:val="24"/>
        </w:rPr>
        <w:t>of growing interest, many healthcare providers are unsure of how to navigate</w:t>
      </w:r>
      <w:r w:rsidR="00890B5F" w:rsidRPr="001A01BF">
        <w:rPr>
          <w:sz w:val="24"/>
          <w:szCs w:val="24"/>
        </w:rPr>
        <w:t xml:space="preserve"> SDoH</w:t>
      </w:r>
      <w:r w:rsidRPr="001A01BF">
        <w:rPr>
          <w:sz w:val="24"/>
          <w:szCs w:val="24"/>
        </w:rPr>
        <w:t xml:space="preserve">. The Neighborhood Navigator Tool is </w:t>
      </w:r>
      <w:r w:rsidR="00A95DF5" w:rsidRPr="001A01BF">
        <w:rPr>
          <w:sz w:val="24"/>
          <w:szCs w:val="24"/>
        </w:rPr>
        <w:t xml:space="preserve">a user friendly, efficient option to assist healthcare providers and patients in overcoming individual barriers to care. </w:t>
      </w:r>
      <w:r w:rsidR="00B456AD" w:rsidRPr="001A01BF">
        <w:rPr>
          <w:sz w:val="24"/>
          <w:szCs w:val="24"/>
        </w:rPr>
        <w:t xml:space="preserve">Familiarizing medical students with </w:t>
      </w:r>
      <w:r w:rsidR="00527160" w:rsidRPr="001A01BF">
        <w:rPr>
          <w:sz w:val="24"/>
          <w:szCs w:val="24"/>
        </w:rPr>
        <w:t xml:space="preserve">the </w:t>
      </w:r>
      <w:r w:rsidR="00E54421">
        <w:rPr>
          <w:sz w:val="24"/>
          <w:szCs w:val="24"/>
        </w:rPr>
        <w:t xml:space="preserve">AAFP </w:t>
      </w:r>
      <w:r w:rsidR="00B456AD" w:rsidRPr="001A01BF">
        <w:rPr>
          <w:sz w:val="24"/>
          <w:szCs w:val="24"/>
        </w:rPr>
        <w:t xml:space="preserve">tool should </w:t>
      </w:r>
      <w:r w:rsidR="003121AB" w:rsidRPr="001A01BF">
        <w:rPr>
          <w:sz w:val="24"/>
          <w:szCs w:val="24"/>
        </w:rPr>
        <w:t>increase the number of providers who feel confident navigating SDoH</w:t>
      </w:r>
      <w:r w:rsidR="00527160" w:rsidRPr="001A01BF">
        <w:rPr>
          <w:sz w:val="24"/>
          <w:szCs w:val="24"/>
        </w:rPr>
        <w:t xml:space="preserve"> and can be accomplished with a minimum of additional instruction</w:t>
      </w:r>
      <w:r w:rsidR="001F4573" w:rsidRPr="001A01BF">
        <w:rPr>
          <w:sz w:val="24"/>
          <w:szCs w:val="24"/>
        </w:rPr>
        <w:t xml:space="preserve">. </w:t>
      </w:r>
    </w:p>
    <w:p w14:paraId="42120140" w14:textId="77777777" w:rsidR="00BC02C1" w:rsidRPr="001A01BF" w:rsidRDefault="00BC02C1">
      <w:pPr>
        <w:rPr>
          <w:b/>
          <w:bCs/>
          <w:sz w:val="24"/>
          <w:szCs w:val="24"/>
        </w:rPr>
      </w:pPr>
      <w:r w:rsidRPr="001A01BF">
        <w:rPr>
          <w:b/>
          <w:bCs/>
          <w:sz w:val="24"/>
          <w:szCs w:val="24"/>
        </w:rPr>
        <w:br w:type="page"/>
      </w:r>
    </w:p>
    <w:p w14:paraId="12F86B89" w14:textId="744E4467" w:rsidR="00330E9F" w:rsidRPr="00FF332E" w:rsidRDefault="00BC02C1">
      <w:pPr>
        <w:rPr>
          <w:kern w:val="2"/>
          <w:sz w:val="24"/>
          <w:szCs w:val="24"/>
          <w14:ligatures w14:val="standardContextual"/>
        </w:rPr>
      </w:pPr>
      <w:r w:rsidRPr="00CA40EC">
        <w:rPr>
          <w:b/>
          <w:bCs/>
          <w:sz w:val="24"/>
          <w:szCs w:val="24"/>
        </w:rPr>
        <w:lastRenderedPageBreak/>
        <w:t>Table 1.</w:t>
      </w:r>
      <w:r w:rsidRPr="00FF332E">
        <w:rPr>
          <w:sz w:val="24"/>
          <w:szCs w:val="24"/>
        </w:rPr>
        <w:t xml:space="preserve"> </w:t>
      </w:r>
      <w:r w:rsidR="0085594B" w:rsidRPr="00FF332E">
        <w:rPr>
          <w:sz w:val="24"/>
          <w:szCs w:val="24"/>
        </w:rPr>
        <w:t xml:space="preserve">Study </w:t>
      </w:r>
      <w:r w:rsidR="00B11D31" w:rsidRPr="00FF332E">
        <w:rPr>
          <w:sz w:val="24"/>
          <w:szCs w:val="24"/>
        </w:rPr>
        <w:t>P</w:t>
      </w:r>
      <w:r w:rsidR="0085594B" w:rsidRPr="00FF332E">
        <w:rPr>
          <w:sz w:val="24"/>
          <w:szCs w:val="24"/>
        </w:rPr>
        <w:t>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109"/>
        <w:gridCol w:w="2938"/>
      </w:tblGrid>
      <w:tr w:rsidR="00B03138" w:rsidRPr="001A01BF" w14:paraId="042318CA" w14:textId="77777777" w:rsidTr="00165FD2">
        <w:tc>
          <w:tcPr>
            <w:tcW w:w="3303" w:type="dxa"/>
          </w:tcPr>
          <w:p w14:paraId="01F18319" w14:textId="0C08A952" w:rsidR="00B03138" w:rsidRPr="00FF332E" w:rsidRDefault="00F278C8" w:rsidP="00165FD2">
            <w:pPr>
              <w:rPr>
                <w:b/>
                <w:bCs/>
                <w:sz w:val="24"/>
                <w:szCs w:val="24"/>
              </w:rPr>
            </w:pPr>
            <w:r w:rsidRPr="00FF332E">
              <w:rPr>
                <w:b/>
                <w:bCs/>
                <w:sz w:val="24"/>
                <w:szCs w:val="24"/>
              </w:rPr>
              <w:t>Respondents</w:t>
            </w:r>
          </w:p>
        </w:tc>
        <w:tc>
          <w:tcPr>
            <w:tcW w:w="3109" w:type="dxa"/>
          </w:tcPr>
          <w:p w14:paraId="293EFA0D" w14:textId="13FB75C9" w:rsidR="00B03138" w:rsidRPr="00FF332E" w:rsidRDefault="00F278C8" w:rsidP="00165FD2">
            <w:pPr>
              <w:rPr>
                <w:b/>
                <w:bCs/>
                <w:sz w:val="24"/>
                <w:szCs w:val="24"/>
              </w:rPr>
            </w:pPr>
            <w:r w:rsidRPr="00FF332E">
              <w:rPr>
                <w:b/>
                <w:bCs/>
                <w:sz w:val="24"/>
                <w:szCs w:val="24"/>
              </w:rPr>
              <w:t>Pre-Test</w:t>
            </w:r>
          </w:p>
        </w:tc>
        <w:tc>
          <w:tcPr>
            <w:tcW w:w="2938" w:type="dxa"/>
          </w:tcPr>
          <w:p w14:paraId="700B7F64" w14:textId="40637A24" w:rsidR="00B03138" w:rsidRPr="00FF332E" w:rsidRDefault="00F278C8" w:rsidP="00165FD2">
            <w:pPr>
              <w:rPr>
                <w:b/>
                <w:bCs/>
                <w:sz w:val="24"/>
                <w:szCs w:val="24"/>
              </w:rPr>
            </w:pPr>
            <w:r w:rsidRPr="00FF332E">
              <w:rPr>
                <w:b/>
                <w:bCs/>
                <w:sz w:val="24"/>
                <w:szCs w:val="24"/>
              </w:rPr>
              <w:t>Post-Test</w:t>
            </w:r>
          </w:p>
        </w:tc>
      </w:tr>
      <w:tr w:rsidR="00B03138" w:rsidRPr="001A01BF" w14:paraId="5D5863A5" w14:textId="77777777" w:rsidTr="00165FD2">
        <w:tc>
          <w:tcPr>
            <w:tcW w:w="3303" w:type="dxa"/>
          </w:tcPr>
          <w:p w14:paraId="062837A6" w14:textId="77777777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109" w:type="dxa"/>
          </w:tcPr>
          <w:p w14:paraId="4FEB9B4B" w14:textId="77777777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n=46</w:t>
            </w:r>
          </w:p>
        </w:tc>
        <w:tc>
          <w:tcPr>
            <w:tcW w:w="2938" w:type="dxa"/>
          </w:tcPr>
          <w:p w14:paraId="1CB16ABC" w14:textId="77777777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n=30</w:t>
            </w:r>
          </w:p>
        </w:tc>
      </w:tr>
      <w:tr w:rsidR="00B03138" w:rsidRPr="001A01BF" w14:paraId="3647D3A6" w14:textId="77777777" w:rsidTr="00165FD2">
        <w:tc>
          <w:tcPr>
            <w:tcW w:w="3303" w:type="dxa"/>
          </w:tcPr>
          <w:p w14:paraId="22F3975F" w14:textId="77777777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3</w:t>
            </w:r>
            <w:r w:rsidRPr="00FF332E">
              <w:rPr>
                <w:sz w:val="24"/>
                <w:szCs w:val="24"/>
                <w:vertAlign w:val="superscript"/>
              </w:rPr>
              <w:t>rd</w:t>
            </w:r>
            <w:r w:rsidRPr="00FF332E">
              <w:rPr>
                <w:sz w:val="24"/>
                <w:szCs w:val="24"/>
              </w:rPr>
              <w:t xml:space="preserve"> Year Medical Students</w:t>
            </w:r>
          </w:p>
        </w:tc>
        <w:tc>
          <w:tcPr>
            <w:tcW w:w="3109" w:type="dxa"/>
          </w:tcPr>
          <w:p w14:paraId="7602D699" w14:textId="74BFF183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33 (71.7%)</w:t>
            </w:r>
          </w:p>
        </w:tc>
        <w:tc>
          <w:tcPr>
            <w:tcW w:w="2938" w:type="dxa"/>
          </w:tcPr>
          <w:p w14:paraId="65EFA989" w14:textId="02A12043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 xml:space="preserve">22 (73.3%) </w:t>
            </w:r>
          </w:p>
        </w:tc>
      </w:tr>
      <w:tr w:rsidR="00B03138" w:rsidRPr="001A01BF" w14:paraId="14AB7A23" w14:textId="77777777" w:rsidTr="00165FD2">
        <w:tc>
          <w:tcPr>
            <w:tcW w:w="3303" w:type="dxa"/>
          </w:tcPr>
          <w:p w14:paraId="7C8F49D6" w14:textId="77777777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4</w:t>
            </w:r>
            <w:r w:rsidRPr="00FF332E">
              <w:rPr>
                <w:sz w:val="24"/>
                <w:szCs w:val="24"/>
                <w:vertAlign w:val="superscript"/>
              </w:rPr>
              <w:t>th</w:t>
            </w:r>
            <w:r w:rsidRPr="00FF332E">
              <w:rPr>
                <w:sz w:val="24"/>
                <w:szCs w:val="24"/>
              </w:rPr>
              <w:t xml:space="preserve"> Year Medical Students</w:t>
            </w:r>
          </w:p>
        </w:tc>
        <w:tc>
          <w:tcPr>
            <w:tcW w:w="3109" w:type="dxa"/>
          </w:tcPr>
          <w:p w14:paraId="2010A256" w14:textId="7A5F4C94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1 (2.</w:t>
            </w:r>
            <w:r w:rsidR="0072585C" w:rsidRPr="00FF332E">
              <w:rPr>
                <w:sz w:val="24"/>
                <w:szCs w:val="24"/>
              </w:rPr>
              <w:t>2</w:t>
            </w:r>
            <w:r w:rsidRPr="00FF332E">
              <w:rPr>
                <w:sz w:val="24"/>
                <w:szCs w:val="24"/>
              </w:rPr>
              <w:t>%)</w:t>
            </w:r>
          </w:p>
        </w:tc>
        <w:tc>
          <w:tcPr>
            <w:tcW w:w="2938" w:type="dxa"/>
          </w:tcPr>
          <w:p w14:paraId="39308001" w14:textId="3509CA59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 xml:space="preserve">0 (0.0%) </w:t>
            </w:r>
          </w:p>
        </w:tc>
      </w:tr>
      <w:tr w:rsidR="00B03138" w:rsidRPr="001A01BF" w14:paraId="6888C056" w14:textId="77777777" w:rsidTr="00165FD2">
        <w:tc>
          <w:tcPr>
            <w:tcW w:w="3303" w:type="dxa"/>
          </w:tcPr>
          <w:p w14:paraId="1179470B" w14:textId="77777777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 xml:space="preserve">PharmD Students </w:t>
            </w:r>
          </w:p>
        </w:tc>
        <w:tc>
          <w:tcPr>
            <w:tcW w:w="3109" w:type="dxa"/>
          </w:tcPr>
          <w:p w14:paraId="74A7188E" w14:textId="53A47732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10 (21.7%)</w:t>
            </w:r>
          </w:p>
        </w:tc>
        <w:tc>
          <w:tcPr>
            <w:tcW w:w="2938" w:type="dxa"/>
          </w:tcPr>
          <w:p w14:paraId="4965FC31" w14:textId="677DA236" w:rsidR="00B03138" w:rsidRPr="00FF332E" w:rsidRDefault="00B03138" w:rsidP="00165FD2">
            <w:pPr>
              <w:rPr>
                <w:sz w:val="24"/>
                <w:szCs w:val="24"/>
              </w:rPr>
            </w:pPr>
            <w:r w:rsidRPr="00FF332E">
              <w:rPr>
                <w:sz w:val="24"/>
                <w:szCs w:val="24"/>
              </w:rPr>
              <w:t>8 (26.</w:t>
            </w:r>
            <w:r w:rsidR="0072585C" w:rsidRPr="00FF332E">
              <w:rPr>
                <w:sz w:val="24"/>
                <w:szCs w:val="24"/>
              </w:rPr>
              <w:t>7</w:t>
            </w:r>
            <w:r w:rsidRPr="00FF332E">
              <w:rPr>
                <w:sz w:val="24"/>
                <w:szCs w:val="24"/>
              </w:rPr>
              <w:t xml:space="preserve">%) </w:t>
            </w:r>
          </w:p>
        </w:tc>
      </w:tr>
    </w:tbl>
    <w:p w14:paraId="00C95EF3" w14:textId="77777777" w:rsidR="00B03138" w:rsidRPr="001A01BF" w:rsidRDefault="00B03138">
      <w:pPr>
        <w:rPr>
          <w:sz w:val="24"/>
          <w:szCs w:val="24"/>
        </w:rPr>
      </w:pPr>
    </w:p>
    <w:p w14:paraId="63BACC4E" w14:textId="3DB0A852" w:rsidR="00BC02C1" w:rsidRPr="001A01BF" w:rsidRDefault="00BC02C1">
      <w:pPr>
        <w:rPr>
          <w:sz w:val="24"/>
          <w:szCs w:val="24"/>
        </w:rPr>
      </w:pPr>
      <w:r w:rsidRPr="001A01BF">
        <w:rPr>
          <w:sz w:val="24"/>
          <w:szCs w:val="24"/>
        </w:rPr>
        <w:br w:type="page"/>
      </w:r>
    </w:p>
    <w:p w14:paraId="7F5AC414" w14:textId="58A6DF66" w:rsidR="0082376F" w:rsidRPr="00717325" w:rsidRDefault="0082376F" w:rsidP="0082376F">
      <w:pPr>
        <w:rPr>
          <w:color w:val="FF0000"/>
          <w:sz w:val="24"/>
          <w:szCs w:val="24"/>
        </w:rPr>
      </w:pPr>
      <w:r w:rsidRPr="00FF33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Table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Pr="00FF33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Pr="00FF332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7C45">
        <w:rPr>
          <w:rFonts w:ascii="Calibri" w:eastAsia="Times New Roman" w:hAnsi="Calibri" w:cs="Calibri"/>
          <w:sz w:val="24"/>
          <w:szCs w:val="24"/>
        </w:rPr>
        <w:t>Responses to Survey Questions</w:t>
      </w:r>
    </w:p>
    <w:tbl>
      <w:tblPr>
        <w:tblStyle w:val="TableGrid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38"/>
        <w:gridCol w:w="1146"/>
        <w:gridCol w:w="1147"/>
        <w:gridCol w:w="1146"/>
        <w:gridCol w:w="1131"/>
      </w:tblGrid>
      <w:tr w:rsidR="004544E7" w:rsidRPr="00873C62" w14:paraId="47F87A97" w14:textId="77777777" w:rsidTr="00D225D2">
        <w:trPr>
          <w:cantSplit/>
        </w:trPr>
        <w:tc>
          <w:tcPr>
            <w:tcW w:w="3240" w:type="dxa"/>
          </w:tcPr>
          <w:p w14:paraId="08212900" w14:textId="77777777" w:rsidR="004544E7" w:rsidRPr="003F697B" w:rsidRDefault="004544E7" w:rsidP="00B1226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7B2E8870" w14:textId="7A8C2C20" w:rsidR="004544E7" w:rsidRPr="00873C62" w:rsidRDefault="004544E7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Pre-Test (n=46)</w:t>
            </w:r>
            <w:r w:rsidR="00D225D2" w:rsidRPr="00873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25D2" w:rsidRPr="00873C6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93" w:type="dxa"/>
            <w:gridSpan w:val="2"/>
          </w:tcPr>
          <w:p w14:paraId="46837F7A" w14:textId="42D90CC5" w:rsidR="004544E7" w:rsidRPr="00873C62" w:rsidRDefault="004544E7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Post-Test (n=30)</w:t>
            </w:r>
            <w:r w:rsidR="00D225D2" w:rsidRPr="00873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25D2" w:rsidRPr="00873C6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1" w:type="dxa"/>
          </w:tcPr>
          <w:p w14:paraId="43352DAB" w14:textId="6FD2AC82" w:rsidR="004544E7" w:rsidRPr="00873C62" w:rsidRDefault="004544E7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668A" w:rsidRPr="00873C62" w14:paraId="14A72D0D" w14:textId="77777777" w:rsidTr="00D225D2">
        <w:trPr>
          <w:cantSplit/>
        </w:trPr>
        <w:tc>
          <w:tcPr>
            <w:tcW w:w="3240" w:type="dxa"/>
            <w:vAlign w:val="center"/>
          </w:tcPr>
          <w:p w14:paraId="650AD90C" w14:textId="5738C850" w:rsidR="005E668A" w:rsidRPr="00873C62" w:rsidRDefault="005E668A" w:rsidP="00B122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Survey Question</w:t>
            </w:r>
          </w:p>
        </w:tc>
        <w:tc>
          <w:tcPr>
            <w:tcW w:w="1138" w:type="dxa"/>
            <w:vAlign w:val="center"/>
          </w:tcPr>
          <w:p w14:paraId="6C3582C4" w14:textId="1FF3BA97" w:rsidR="005E668A" w:rsidRPr="00873C62" w:rsidRDefault="005E668A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46" w:type="dxa"/>
            <w:vAlign w:val="center"/>
          </w:tcPr>
          <w:p w14:paraId="5BE67823" w14:textId="10976089" w:rsidR="005E668A" w:rsidRPr="00873C62" w:rsidRDefault="005E668A" w:rsidP="00B1226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873C6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Disagree</w:t>
            </w:r>
            <w:r w:rsidR="003529AD" w:rsidRPr="00873C6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14:paraId="339BB5F3" w14:textId="7EB19B6E" w:rsidR="005E668A" w:rsidRPr="00873C62" w:rsidRDefault="005E668A" w:rsidP="00B1226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1146" w:type="dxa"/>
            <w:vAlign w:val="center"/>
          </w:tcPr>
          <w:p w14:paraId="779FFFF1" w14:textId="06EDA3B0" w:rsidR="005E668A" w:rsidRPr="00873C62" w:rsidRDefault="005E668A" w:rsidP="00B1226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131" w:type="dxa"/>
            <w:vAlign w:val="center"/>
          </w:tcPr>
          <w:p w14:paraId="502ACA7E" w14:textId="225876C3" w:rsidR="005E668A" w:rsidRPr="00873C62" w:rsidRDefault="005E668A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  <w:r w:rsidR="000B72D6" w:rsidRPr="00873C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B72D6" w:rsidRPr="00873C6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7B6426" w:rsidRPr="00873C62" w14:paraId="09381553" w14:textId="77777777" w:rsidTr="00D225D2">
        <w:trPr>
          <w:cantSplit/>
        </w:trPr>
        <w:tc>
          <w:tcPr>
            <w:tcW w:w="3240" w:type="dxa"/>
            <w:vAlign w:val="center"/>
          </w:tcPr>
          <w:p w14:paraId="52E58D3A" w14:textId="29E4BF8D" w:rsidR="007B6426" w:rsidRPr="00873C62" w:rsidRDefault="007B6426" w:rsidP="00B122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138" w:type="dxa"/>
            <w:vAlign w:val="center"/>
          </w:tcPr>
          <w:p w14:paraId="4B67C9D4" w14:textId="77777777" w:rsidR="007B6426" w:rsidRPr="00873C62" w:rsidRDefault="007B642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67B6A919" w14:textId="77777777" w:rsidR="007B6426" w:rsidRPr="00873C62" w:rsidRDefault="007B6426" w:rsidP="00B1226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582112D" w14:textId="77777777" w:rsidR="007B6426" w:rsidRPr="00873C62" w:rsidRDefault="007B6426" w:rsidP="00B1226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49D9D72B" w14:textId="77777777" w:rsidR="007B6426" w:rsidRPr="00873C62" w:rsidRDefault="007B6426" w:rsidP="00B1226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5207512" w14:textId="77777777" w:rsidR="007B6426" w:rsidRPr="00873C62" w:rsidRDefault="007B642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A7083" w:rsidRPr="00873C62" w14:paraId="15B6E02E" w14:textId="77777777" w:rsidTr="00D225D2">
        <w:trPr>
          <w:cantSplit/>
        </w:trPr>
        <w:tc>
          <w:tcPr>
            <w:tcW w:w="3240" w:type="dxa"/>
            <w:vAlign w:val="center"/>
          </w:tcPr>
          <w:p w14:paraId="589CD116" w14:textId="77777777" w:rsidR="0082376F" w:rsidRPr="00873C62" w:rsidRDefault="0082376F" w:rsidP="00B12266">
            <w:pPr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I have a comprehensive understanding of SDoH.</w:t>
            </w:r>
          </w:p>
        </w:tc>
        <w:tc>
          <w:tcPr>
            <w:tcW w:w="1138" w:type="dxa"/>
            <w:vAlign w:val="center"/>
          </w:tcPr>
          <w:p w14:paraId="130E27A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16</w:t>
            </w:r>
          </w:p>
          <w:p w14:paraId="2114631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(34.8%)</w:t>
            </w:r>
          </w:p>
        </w:tc>
        <w:tc>
          <w:tcPr>
            <w:tcW w:w="1146" w:type="dxa"/>
            <w:vAlign w:val="center"/>
          </w:tcPr>
          <w:p w14:paraId="262A94B8" w14:textId="77777777" w:rsidR="0082376F" w:rsidRPr="00873C62" w:rsidRDefault="0082376F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 xml:space="preserve">30 </w:t>
            </w:r>
          </w:p>
          <w:p w14:paraId="4A981A21" w14:textId="77777777" w:rsidR="0082376F" w:rsidRPr="00873C62" w:rsidRDefault="0082376F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>(65.2%)</w:t>
            </w:r>
          </w:p>
        </w:tc>
        <w:tc>
          <w:tcPr>
            <w:tcW w:w="1147" w:type="dxa"/>
            <w:vAlign w:val="center"/>
          </w:tcPr>
          <w:p w14:paraId="04D05496" w14:textId="0A7AF903" w:rsidR="003938FB" w:rsidRPr="00873C62" w:rsidRDefault="0082376F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  <w:p w14:paraId="482F422C" w14:textId="4DB3C66E" w:rsidR="0082376F" w:rsidRPr="00873C62" w:rsidRDefault="0082376F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>(86.2%)</w:t>
            </w:r>
          </w:p>
        </w:tc>
        <w:tc>
          <w:tcPr>
            <w:tcW w:w="1146" w:type="dxa"/>
            <w:vAlign w:val="center"/>
          </w:tcPr>
          <w:p w14:paraId="580A782F" w14:textId="77777777" w:rsidR="0082376F" w:rsidRPr="00873C62" w:rsidRDefault="0082376F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 xml:space="preserve">4 </w:t>
            </w:r>
          </w:p>
          <w:p w14:paraId="24B199FD" w14:textId="77777777" w:rsidR="0082376F" w:rsidRPr="00873C62" w:rsidRDefault="0082376F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>(13.8%)</w:t>
            </w:r>
          </w:p>
        </w:tc>
        <w:tc>
          <w:tcPr>
            <w:tcW w:w="1131" w:type="dxa"/>
            <w:vAlign w:val="center"/>
          </w:tcPr>
          <w:p w14:paraId="4C6D3C80" w14:textId="77777777" w:rsidR="0082376F" w:rsidRPr="00717325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7325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DA7083" w:rsidRPr="00873C62" w14:paraId="23179A25" w14:textId="77777777" w:rsidTr="00D225D2">
        <w:trPr>
          <w:cantSplit/>
        </w:trPr>
        <w:tc>
          <w:tcPr>
            <w:tcW w:w="3240" w:type="dxa"/>
            <w:vAlign w:val="center"/>
          </w:tcPr>
          <w:p w14:paraId="23C30AD9" w14:textId="77777777" w:rsidR="0082376F" w:rsidRPr="00873C62" w:rsidRDefault="0082376F" w:rsidP="00B12266">
            <w:pPr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SDoH present a barrier to care in some of my patients.</w:t>
            </w:r>
          </w:p>
        </w:tc>
        <w:tc>
          <w:tcPr>
            <w:tcW w:w="1138" w:type="dxa"/>
            <w:vAlign w:val="center"/>
          </w:tcPr>
          <w:p w14:paraId="0C83DAE9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 xml:space="preserve">45 </w:t>
            </w:r>
          </w:p>
          <w:p w14:paraId="3971D956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(97.8%)</w:t>
            </w:r>
          </w:p>
        </w:tc>
        <w:tc>
          <w:tcPr>
            <w:tcW w:w="1146" w:type="dxa"/>
            <w:vAlign w:val="center"/>
          </w:tcPr>
          <w:p w14:paraId="5FAB9706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 xml:space="preserve">1 </w:t>
            </w:r>
          </w:p>
          <w:p w14:paraId="54CDB8C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(2.2%)</w:t>
            </w:r>
          </w:p>
        </w:tc>
        <w:tc>
          <w:tcPr>
            <w:tcW w:w="1147" w:type="dxa"/>
            <w:vAlign w:val="center"/>
          </w:tcPr>
          <w:p w14:paraId="3E2BACC9" w14:textId="2AAF9C3E" w:rsidR="003938FB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29</w:t>
            </w:r>
          </w:p>
          <w:p w14:paraId="73360D25" w14:textId="464AC9C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(96.7%)</w:t>
            </w:r>
          </w:p>
        </w:tc>
        <w:tc>
          <w:tcPr>
            <w:tcW w:w="1146" w:type="dxa"/>
            <w:vAlign w:val="center"/>
          </w:tcPr>
          <w:p w14:paraId="7BA32B6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</w:t>
            </w:r>
          </w:p>
          <w:p w14:paraId="3DC48B59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 xml:space="preserve"> (3.3%)</w:t>
            </w:r>
          </w:p>
        </w:tc>
        <w:tc>
          <w:tcPr>
            <w:tcW w:w="1131" w:type="dxa"/>
            <w:vAlign w:val="center"/>
          </w:tcPr>
          <w:p w14:paraId="38229E17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0.757</w:t>
            </w:r>
          </w:p>
        </w:tc>
      </w:tr>
      <w:tr w:rsidR="00DA7083" w:rsidRPr="00873C62" w14:paraId="3D4103AE" w14:textId="77777777" w:rsidTr="00D225D2">
        <w:trPr>
          <w:cantSplit/>
        </w:trPr>
        <w:tc>
          <w:tcPr>
            <w:tcW w:w="3240" w:type="dxa"/>
            <w:vAlign w:val="center"/>
          </w:tcPr>
          <w:p w14:paraId="5B814359" w14:textId="77777777" w:rsidR="0082376F" w:rsidRPr="00873C62" w:rsidRDefault="0082376F" w:rsidP="00B12266">
            <w:pPr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Many of my patients live in areas that lack resources addressing SDoH.</w:t>
            </w:r>
          </w:p>
        </w:tc>
        <w:tc>
          <w:tcPr>
            <w:tcW w:w="1138" w:type="dxa"/>
            <w:vAlign w:val="center"/>
          </w:tcPr>
          <w:p w14:paraId="0901993C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44</w:t>
            </w:r>
          </w:p>
          <w:p w14:paraId="1D60357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(95.6%)</w:t>
            </w:r>
          </w:p>
        </w:tc>
        <w:tc>
          <w:tcPr>
            <w:tcW w:w="1146" w:type="dxa"/>
            <w:vAlign w:val="center"/>
          </w:tcPr>
          <w:p w14:paraId="0EF0DA13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</w:t>
            </w:r>
          </w:p>
          <w:p w14:paraId="48EAC053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(4.4%)</w:t>
            </w:r>
          </w:p>
        </w:tc>
        <w:tc>
          <w:tcPr>
            <w:tcW w:w="1147" w:type="dxa"/>
            <w:vAlign w:val="center"/>
          </w:tcPr>
          <w:p w14:paraId="70E11D8C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28</w:t>
            </w:r>
          </w:p>
          <w:p w14:paraId="07376532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(93.3%)</w:t>
            </w:r>
          </w:p>
        </w:tc>
        <w:tc>
          <w:tcPr>
            <w:tcW w:w="1146" w:type="dxa"/>
            <w:vAlign w:val="center"/>
          </w:tcPr>
          <w:p w14:paraId="7331E0D7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</w:t>
            </w:r>
          </w:p>
          <w:p w14:paraId="5B8B825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(6. 7%)</w:t>
            </w:r>
          </w:p>
        </w:tc>
        <w:tc>
          <w:tcPr>
            <w:tcW w:w="1131" w:type="dxa"/>
            <w:vAlign w:val="center"/>
          </w:tcPr>
          <w:p w14:paraId="1214A66B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0.658</w:t>
            </w:r>
          </w:p>
        </w:tc>
      </w:tr>
      <w:tr w:rsidR="00DA7083" w:rsidRPr="00873C62" w14:paraId="0FE4F38E" w14:textId="77777777" w:rsidTr="00D225D2">
        <w:trPr>
          <w:cantSplit/>
        </w:trPr>
        <w:tc>
          <w:tcPr>
            <w:tcW w:w="3240" w:type="dxa"/>
            <w:vAlign w:val="center"/>
          </w:tcPr>
          <w:p w14:paraId="7FA7375E" w14:textId="77777777" w:rsidR="0082376F" w:rsidRPr="00873C62" w:rsidRDefault="0082376F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Social needs are related to poor health outcomes.</w:t>
            </w:r>
          </w:p>
        </w:tc>
        <w:tc>
          <w:tcPr>
            <w:tcW w:w="1138" w:type="dxa"/>
            <w:vAlign w:val="center"/>
          </w:tcPr>
          <w:p w14:paraId="4D0404C3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44</w:t>
            </w:r>
          </w:p>
          <w:p w14:paraId="2E37912C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(95.6%)</w:t>
            </w:r>
          </w:p>
        </w:tc>
        <w:tc>
          <w:tcPr>
            <w:tcW w:w="1146" w:type="dxa"/>
            <w:vAlign w:val="center"/>
          </w:tcPr>
          <w:p w14:paraId="24C900C7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</w:t>
            </w:r>
          </w:p>
          <w:p w14:paraId="4E2FAA2F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(4.4%)</w:t>
            </w:r>
          </w:p>
        </w:tc>
        <w:tc>
          <w:tcPr>
            <w:tcW w:w="1147" w:type="dxa"/>
            <w:vAlign w:val="center"/>
          </w:tcPr>
          <w:p w14:paraId="15A0A96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29</w:t>
            </w:r>
          </w:p>
          <w:p w14:paraId="4F8F0C69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(96. 7%)</w:t>
            </w:r>
          </w:p>
        </w:tc>
        <w:tc>
          <w:tcPr>
            <w:tcW w:w="1146" w:type="dxa"/>
            <w:vAlign w:val="center"/>
          </w:tcPr>
          <w:p w14:paraId="3DDC02F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</w:t>
            </w:r>
          </w:p>
          <w:p w14:paraId="3C6BA4DD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(3.3%)</w:t>
            </w:r>
          </w:p>
        </w:tc>
        <w:tc>
          <w:tcPr>
            <w:tcW w:w="1131" w:type="dxa"/>
            <w:vAlign w:val="center"/>
          </w:tcPr>
          <w:p w14:paraId="08A07CEB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0.824</w:t>
            </w:r>
          </w:p>
        </w:tc>
      </w:tr>
      <w:tr w:rsidR="00DA7083" w:rsidRPr="00873C62" w14:paraId="1D4411C2" w14:textId="77777777" w:rsidTr="00D225D2">
        <w:trPr>
          <w:cantSplit/>
        </w:trPr>
        <w:tc>
          <w:tcPr>
            <w:tcW w:w="3240" w:type="dxa"/>
            <w:vAlign w:val="center"/>
          </w:tcPr>
          <w:p w14:paraId="5D603A31" w14:textId="77777777" w:rsidR="0082376F" w:rsidRPr="00873C62" w:rsidRDefault="0082376F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Many of my patients have more than one SDoH that needs addressed.</w:t>
            </w:r>
          </w:p>
        </w:tc>
        <w:tc>
          <w:tcPr>
            <w:tcW w:w="1138" w:type="dxa"/>
            <w:vAlign w:val="center"/>
          </w:tcPr>
          <w:p w14:paraId="4FA55F10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43</w:t>
            </w:r>
          </w:p>
          <w:p w14:paraId="163CCCEB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(95.6%)</w:t>
            </w:r>
          </w:p>
        </w:tc>
        <w:tc>
          <w:tcPr>
            <w:tcW w:w="1146" w:type="dxa"/>
            <w:vAlign w:val="center"/>
          </w:tcPr>
          <w:p w14:paraId="358E20A0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</w:t>
            </w:r>
          </w:p>
          <w:p w14:paraId="2886580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(4.4%)</w:t>
            </w:r>
          </w:p>
        </w:tc>
        <w:tc>
          <w:tcPr>
            <w:tcW w:w="1147" w:type="dxa"/>
            <w:vAlign w:val="center"/>
          </w:tcPr>
          <w:p w14:paraId="44EB6CA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30</w:t>
            </w:r>
          </w:p>
          <w:p w14:paraId="16B3AB98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(100.0%)</w:t>
            </w:r>
          </w:p>
        </w:tc>
        <w:tc>
          <w:tcPr>
            <w:tcW w:w="1146" w:type="dxa"/>
            <w:vAlign w:val="center"/>
          </w:tcPr>
          <w:p w14:paraId="05CA9BCC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</w:t>
            </w:r>
          </w:p>
          <w:p w14:paraId="48C78FB7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(0.0%)</w:t>
            </w:r>
          </w:p>
        </w:tc>
        <w:tc>
          <w:tcPr>
            <w:tcW w:w="1131" w:type="dxa"/>
            <w:vAlign w:val="center"/>
          </w:tcPr>
          <w:p w14:paraId="2AE13892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0.242</w:t>
            </w:r>
          </w:p>
        </w:tc>
      </w:tr>
      <w:tr w:rsidR="00DA7083" w:rsidRPr="00873C62" w14:paraId="211EA9CD" w14:textId="77777777" w:rsidTr="00D225D2">
        <w:trPr>
          <w:cantSplit/>
        </w:trPr>
        <w:tc>
          <w:tcPr>
            <w:tcW w:w="3240" w:type="dxa"/>
            <w:vAlign w:val="center"/>
          </w:tcPr>
          <w:p w14:paraId="5769F559" w14:textId="77777777" w:rsidR="0082376F" w:rsidRPr="00873C62" w:rsidRDefault="0082376F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There is a connection between a patient's home address and access to resources.</w:t>
            </w:r>
          </w:p>
        </w:tc>
        <w:tc>
          <w:tcPr>
            <w:tcW w:w="1138" w:type="dxa"/>
            <w:vAlign w:val="center"/>
          </w:tcPr>
          <w:p w14:paraId="16F6482D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43</w:t>
            </w:r>
          </w:p>
          <w:p w14:paraId="013BAEF5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(93.5%)</w:t>
            </w:r>
          </w:p>
        </w:tc>
        <w:tc>
          <w:tcPr>
            <w:tcW w:w="1146" w:type="dxa"/>
            <w:vAlign w:val="center"/>
          </w:tcPr>
          <w:p w14:paraId="69B3A0D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</w:t>
            </w:r>
          </w:p>
          <w:p w14:paraId="2B2EBFB6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(6.5%)</w:t>
            </w:r>
          </w:p>
        </w:tc>
        <w:tc>
          <w:tcPr>
            <w:tcW w:w="1147" w:type="dxa"/>
            <w:vAlign w:val="center"/>
          </w:tcPr>
          <w:p w14:paraId="3B7D795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30</w:t>
            </w:r>
          </w:p>
          <w:p w14:paraId="57A5D33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(100.0%)</w:t>
            </w:r>
          </w:p>
        </w:tc>
        <w:tc>
          <w:tcPr>
            <w:tcW w:w="1146" w:type="dxa"/>
            <w:vAlign w:val="center"/>
          </w:tcPr>
          <w:p w14:paraId="0FA54E3C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</w:t>
            </w:r>
          </w:p>
          <w:p w14:paraId="53B7186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(0.0%)</w:t>
            </w:r>
          </w:p>
        </w:tc>
        <w:tc>
          <w:tcPr>
            <w:tcW w:w="1131" w:type="dxa"/>
            <w:vAlign w:val="center"/>
          </w:tcPr>
          <w:p w14:paraId="32311C7D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0.153</w:t>
            </w:r>
          </w:p>
        </w:tc>
      </w:tr>
      <w:tr w:rsidR="00566BEB" w:rsidRPr="00873C62" w14:paraId="1EA7ACFA" w14:textId="77777777" w:rsidTr="00B12266">
        <w:trPr>
          <w:cantSplit/>
        </w:trPr>
        <w:tc>
          <w:tcPr>
            <w:tcW w:w="3240" w:type="dxa"/>
            <w:vAlign w:val="center"/>
          </w:tcPr>
          <w:p w14:paraId="1B7574FD" w14:textId="77777777" w:rsidR="00566BEB" w:rsidRPr="00873C62" w:rsidRDefault="00566BEB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Patients are often reluctant to reveal SDoH that impact them.</w:t>
            </w:r>
          </w:p>
        </w:tc>
        <w:tc>
          <w:tcPr>
            <w:tcW w:w="1138" w:type="dxa"/>
            <w:vAlign w:val="center"/>
          </w:tcPr>
          <w:p w14:paraId="0415D0FA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36</w:t>
            </w:r>
          </w:p>
          <w:p w14:paraId="53FEA9BC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(78.3%)</w:t>
            </w:r>
          </w:p>
        </w:tc>
        <w:tc>
          <w:tcPr>
            <w:tcW w:w="1146" w:type="dxa"/>
            <w:vAlign w:val="center"/>
          </w:tcPr>
          <w:p w14:paraId="6BC283DC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10</w:t>
            </w:r>
          </w:p>
          <w:p w14:paraId="204984B6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(21.7%)</w:t>
            </w:r>
          </w:p>
        </w:tc>
        <w:tc>
          <w:tcPr>
            <w:tcW w:w="1147" w:type="dxa"/>
            <w:vAlign w:val="center"/>
          </w:tcPr>
          <w:p w14:paraId="3F750246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25</w:t>
            </w:r>
          </w:p>
          <w:p w14:paraId="06E50E33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(83.3%)</w:t>
            </w:r>
          </w:p>
        </w:tc>
        <w:tc>
          <w:tcPr>
            <w:tcW w:w="1146" w:type="dxa"/>
            <w:vAlign w:val="center"/>
          </w:tcPr>
          <w:p w14:paraId="1C5E7B0B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5</w:t>
            </w:r>
          </w:p>
          <w:p w14:paraId="6FA31788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(16.7%)</w:t>
            </w:r>
          </w:p>
        </w:tc>
        <w:tc>
          <w:tcPr>
            <w:tcW w:w="1131" w:type="dxa"/>
            <w:vAlign w:val="center"/>
          </w:tcPr>
          <w:p w14:paraId="5ECAA1A2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0.587</w:t>
            </w:r>
          </w:p>
        </w:tc>
      </w:tr>
      <w:tr w:rsidR="00566BEB" w:rsidRPr="00873C62" w14:paraId="102F7DA9" w14:textId="77777777" w:rsidTr="00B12266">
        <w:trPr>
          <w:cantSplit/>
        </w:trPr>
        <w:tc>
          <w:tcPr>
            <w:tcW w:w="3240" w:type="dxa"/>
            <w:vAlign w:val="center"/>
          </w:tcPr>
          <w:p w14:paraId="21A3C698" w14:textId="77777777" w:rsidR="00566BEB" w:rsidRPr="00873C62" w:rsidRDefault="00566BEB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"Non-compliance" may be masked as barriers to fulfilling SDoH.</w:t>
            </w:r>
          </w:p>
        </w:tc>
        <w:tc>
          <w:tcPr>
            <w:tcW w:w="1138" w:type="dxa"/>
            <w:vAlign w:val="center"/>
          </w:tcPr>
          <w:p w14:paraId="23066B8B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40</w:t>
            </w:r>
          </w:p>
          <w:p w14:paraId="4858816C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(87.0%)</w:t>
            </w:r>
          </w:p>
        </w:tc>
        <w:tc>
          <w:tcPr>
            <w:tcW w:w="1146" w:type="dxa"/>
            <w:vAlign w:val="center"/>
          </w:tcPr>
          <w:p w14:paraId="0669E27B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6</w:t>
            </w:r>
          </w:p>
          <w:p w14:paraId="27223EC9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(13.0%)</w:t>
            </w:r>
          </w:p>
        </w:tc>
        <w:tc>
          <w:tcPr>
            <w:tcW w:w="1147" w:type="dxa"/>
            <w:vAlign w:val="center"/>
          </w:tcPr>
          <w:p w14:paraId="67CF5E0A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30</w:t>
            </w:r>
          </w:p>
          <w:p w14:paraId="1957883E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(100.0%)</w:t>
            </w:r>
          </w:p>
        </w:tc>
        <w:tc>
          <w:tcPr>
            <w:tcW w:w="1146" w:type="dxa"/>
            <w:vAlign w:val="center"/>
          </w:tcPr>
          <w:p w14:paraId="4E12677F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</w:t>
            </w:r>
          </w:p>
          <w:p w14:paraId="33195D16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(0.0%)</w:t>
            </w:r>
          </w:p>
        </w:tc>
        <w:tc>
          <w:tcPr>
            <w:tcW w:w="1131" w:type="dxa"/>
            <w:vAlign w:val="center"/>
          </w:tcPr>
          <w:p w14:paraId="6F14E8AF" w14:textId="77777777" w:rsidR="00566BEB" w:rsidRPr="00717325" w:rsidRDefault="00566BEB" w:rsidP="00B12266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73C62">
              <w:rPr>
                <w:rFonts w:cstheme="minorHAnsi"/>
                <w:sz w:val="24"/>
                <w:szCs w:val="24"/>
              </w:rPr>
              <w:t xml:space="preserve">0.075 </w:t>
            </w:r>
            <w:r w:rsidRPr="00873C62">
              <w:rPr>
                <w:rFonts w:cstheme="minorHAnsi"/>
                <w:sz w:val="24"/>
                <w:szCs w:val="24"/>
                <w:vertAlign w:val="superscript"/>
              </w:rPr>
              <w:t>c</w:t>
            </w:r>
          </w:p>
        </w:tc>
      </w:tr>
      <w:tr w:rsidR="00566BEB" w:rsidRPr="00873C62" w14:paraId="1F9543C7" w14:textId="77777777" w:rsidTr="00D225D2">
        <w:trPr>
          <w:cantSplit/>
        </w:trPr>
        <w:tc>
          <w:tcPr>
            <w:tcW w:w="3240" w:type="dxa"/>
            <w:vAlign w:val="center"/>
          </w:tcPr>
          <w:p w14:paraId="7D458472" w14:textId="0FAA69AA" w:rsidR="00566BEB" w:rsidRPr="00873C62" w:rsidRDefault="007B6426" w:rsidP="00B122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sz w:val="24"/>
                <w:szCs w:val="24"/>
              </w:rPr>
              <w:t>Attitudes</w:t>
            </w:r>
          </w:p>
        </w:tc>
        <w:tc>
          <w:tcPr>
            <w:tcW w:w="1138" w:type="dxa"/>
            <w:vAlign w:val="center"/>
          </w:tcPr>
          <w:p w14:paraId="6EF6F9F4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3DFFF41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3500C99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010014F7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B30F0DD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7083" w:rsidRPr="00873C62" w14:paraId="78C9D54B" w14:textId="77777777" w:rsidTr="00D225D2">
        <w:trPr>
          <w:cantSplit/>
        </w:trPr>
        <w:tc>
          <w:tcPr>
            <w:tcW w:w="3240" w:type="dxa"/>
            <w:vAlign w:val="center"/>
          </w:tcPr>
          <w:p w14:paraId="3064CE67" w14:textId="77777777" w:rsidR="0082376F" w:rsidRPr="00873C62" w:rsidRDefault="0082376F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I believe it is a physician's responsibility to address SDoH in patient visits.</w:t>
            </w:r>
          </w:p>
        </w:tc>
        <w:tc>
          <w:tcPr>
            <w:tcW w:w="1138" w:type="dxa"/>
            <w:vAlign w:val="center"/>
          </w:tcPr>
          <w:p w14:paraId="264F1059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38</w:t>
            </w:r>
          </w:p>
          <w:p w14:paraId="4232F262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(82.6%)</w:t>
            </w:r>
          </w:p>
        </w:tc>
        <w:tc>
          <w:tcPr>
            <w:tcW w:w="1146" w:type="dxa"/>
            <w:vAlign w:val="center"/>
          </w:tcPr>
          <w:p w14:paraId="3789817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8</w:t>
            </w:r>
          </w:p>
          <w:p w14:paraId="31380F8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(17.4%)</w:t>
            </w:r>
          </w:p>
        </w:tc>
        <w:tc>
          <w:tcPr>
            <w:tcW w:w="1147" w:type="dxa"/>
            <w:vAlign w:val="center"/>
          </w:tcPr>
          <w:p w14:paraId="4EB8F726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29</w:t>
            </w:r>
          </w:p>
          <w:p w14:paraId="28EE5AB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(96.7%)</w:t>
            </w:r>
          </w:p>
        </w:tc>
        <w:tc>
          <w:tcPr>
            <w:tcW w:w="1146" w:type="dxa"/>
            <w:vAlign w:val="center"/>
          </w:tcPr>
          <w:p w14:paraId="5B1B56F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</w:t>
            </w:r>
          </w:p>
          <w:p w14:paraId="42E3B01F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(3.3%)</w:t>
            </w:r>
          </w:p>
        </w:tc>
        <w:tc>
          <w:tcPr>
            <w:tcW w:w="1131" w:type="dxa"/>
            <w:vAlign w:val="center"/>
          </w:tcPr>
          <w:p w14:paraId="33E87B2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0.064</w:t>
            </w:r>
          </w:p>
        </w:tc>
      </w:tr>
      <w:tr w:rsidR="00873C62" w:rsidRPr="00873C62" w14:paraId="29D22AEC" w14:textId="77777777" w:rsidTr="00B12266">
        <w:trPr>
          <w:cantSplit/>
        </w:trPr>
        <w:tc>
          <w:tcPr>
            <w:tcW w:w="3240" w:type="dxa"/>
            <w:vAlign w:val="center"/>
          </w:tcPr>
          <w:p w14:paraId="073FBFBA" w14:textId="77777777" w:rsidR="00873C62" w:rsidRPr="00873C62" w:rsidRDefault="00873C62" w:rsidP="00B12266">
            <w:pPr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I feel confident in my ability to refer patients to community resources addressing SDoH.</w:t>
            </w:r>
          </w:p>
        </w:tc>
        <w:tc>
          <w:tcPr>
            <w:tcW w:w="1138" w:type="dxa"/>
            <w:vAlign w:val="center"/>
          </w:tcPr>
          <w:p w14:paraId="33AAF1B4" w14:textId="77777777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11</w:t>
            </w:r>
          </w:p>
          <w:p w14:paraId="40074388" w14:textId="77777777" w:rsidR="00873C62" w:rsidRPr="00873C62" w:rsidRDefault="00873C62" w:rsidP="00B12266">
            <w:pPr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 xml:space="preserve">  (23.9%)</w:t>
            </w:r>
          </w:p>
        </w:tc>
        <w:tc>
          <w:tcPr>
            <w:tcW w:w="1146" w:type="dxa"/>
            <w:vAlign w:val="center"/>
          </w:tcPr>
          <w:p w14:paraId="71B69AA2" w14:textId="77777777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35</w:t>
            </w:r>
          </w:p>
          <w:p w14:paraId="05573E14" w14:textId="77777777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(76.1%)</w:t>
            </w:r>
          </w:p>
        </w:tc>
        <w:tc>
          <w:tcPr>
            <w:tcW w:w="1147" w:type="dxa"/>
            <w:vAlign w:val="center"/>
          </w:tcPr>
          <w:p w14:paraId="7EF5373D" w14:textId="2E09BA2F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28</w:t>
            </w:r>
          </w:p>
          <w:p w14:paraId="20552549" w14:textId="77777777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(96.5%)</w:t>
            </w:r>
          </w:p>
        </w:tc>
        <w:tc>
          <w:tcPr>
            <w:tcW w:w="1146" w:type="dxa"/>
            <w:vAlign w:val="center"/>
          </w:tcPr>
          <w:p w14:paraId="7D841A63" w14:textId="77777777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</w:t>
            </w:r>
          </w:p>
          <w:p w14:paraId="4FF542FF" w14:textId="77777777" w:rsidR="00873C62" w:rsidRPr="00873C62" w:rsidRDefault="00873C62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(3. 5%)</w:t>
            </w:r>
          </w:p>
        </w:tc>
        <w:tc>
          <w:tcPr>
            <w:tcW w:w="1131" w:type="dxa"/>
            <w:vAlign w:val="center"/>
          </w:tcPr>
          <w:p w14:paraId="0F18145F" w14:textId="77777777" w:rsidR="00873C62" w:rsidRPr="00717325" w:rsidRDefault="00873C62" w:rsidP="00B12266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717325">
              <w:rPr>
                <w:rFonts w:cstheme="minorHAnsi"/>
                <w:sz w:val="24"/>
                <w:szCs w:val="24"/>
              </w:rPr>
              <w:t>&lt;0.001</w:t>
            </w:r>
            <w:r w:rsidRPr="00873C62">
              <w:rPr>
                <w:rFonts w:cstheme="minorHAnsi"/>
                <w:sz w:val="24"/>
                <w:szCs w:val="24"/>
              </w:rPr>
              <w:t xml:space="preserve"> </w:t>
            </w:r>
            <w:r w:rsidRPr="00873C62">
              <w:rPr>
                <w:rFonts w:cstheme="minorHAnsi"/>
                <w:sz w:val="24"/>
                <w:szCs w:val="24"/>
                <w:vertAlign w:val="superscript"/>
              </w:rPr>
              <w:t>c</w:t>
            </w:r>
          </w:p>
        </w:tc>
      </w:tr>
      <w:tr w:rsidR="00566BEB" w:rsidRPr="00873C62" w14:paraId="09135C48" w14:textId="77777777" w:rsidTr="00B12266">
        <w:trPr>
          <w:cantSplit/>
        </w:trPr>
        <w:tc>
          <w:tcPr>
            <w:tcW w:w="3240" w:type="dxa"/>
            <w:vAlign w:val="center"/>
          </w:tcPr>
          <w:p w14:paraId="4D11A72A" w14:textId="77777777" w:rsidR="00566BEB" w:rsidRPr="00873C62" w:rsidRDefault="00566BEB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There is not enough time in my patient visit to address SDoH.</w:t>
            </w:r>
          </w:p>
        </w:tc>
        <w:tc>
          <w:tcPr>
            <w:tcW w:w="1138" w:type="dxa"/>
            <w:vAlign w:val="center"/>
          </w:tcPr>
          <w:p w14:paraId="3946E1EE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20</w:t>
            </w:r>
          </w:p>
          <w:p w14:paraId="6F5641F9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(43.5%)</w:t>
            </w:r>
          </w:p>
        </w:tc>
        <w:tc>
          <w:tcPr>
            <w:tcW w:w="1146" w:type="dxa"/>
            <w:vAlign w:val="center"/>
          </w:tcPr>
          <w:p w14:paraId="5B2DD77B" w14:textId="77777777" w:rsidR="00566BEB" w:rsidRPr="00873C62" w:rsidRDefault="00566BEB" w:rsidP="00B1226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  <w:p w14:paraId="08B0646D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color w:val="000000" w:themeColor="text1"/>
                <w:sz w:val="24"/>
                <w:szCs w:val="24"/>
              </w:rPr>
              <w:t>(56.5%)</w:t>
            </w:r>
          </w:p>
        </w:tc>
        <w:tc>
          <w:tcPr>
            <w:tcW w:w="1147" w:type="dxa"/>
            <w:vAlign w:val="center"/>
          </w:tcPr>
          <w:p w14:paraId="72095BCC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15</w:t>
            </w:r>
          </w:p>
          <w:p w14:paraId="6C1395C5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(50.0%</w:t>
            </w:r>
          </w:p>
        </w:tc>
        <w:tc>
          <w:tcPr>
            <w:tcW w:w="1146" w:type="dxa"/>
            <w:vAlign w:val="center"/>
          </w:tcPr>
          <w:p w14:paraId="46659FBA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15</w:t>
            </w:r>
          </w:p>
          <w:p w14:paraId="43AD7178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(50.0%)</w:t>
            </w:r>
          </w:p>
        </w:tc>
        <w:tc>
          <w:tcPr>
            <w:tcW w:w="1131" w:type="dxa"/>
            <w:vAlign w:val="center"/>
          </w:tcPr>
          <w:p w14:paraId="6FE6ECB2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0.577</w:t>
            </w:r>
          </w:p>
        </w:tc>
      </w:tr>
      <w:tr w:rsidR="00566BEB" w:rsidRPr="00873C62" w14:paraId="2D54242E" w14:textId="77777777" w:rsidTr="00B12266">
        <w:trPr>
          <w:cantSplit/>
        </w:trPr>
        <w:tc>
          <w:tcPr>
            <w:tcW w:w="3240" w:type="dxa"/>
            <w:vAlign w:val="center"/>
          </w:tcPr>
          <w:p w14:paraId="73FD03F8" w14:textId="77777777" w:rsidR="00566BEB" w:rsidRPr="00873C62" w:rsidRDefault="00566BEB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Addressing SDoH is better suited to be addressed on an outpatient basis.</w:t>
            </w:r>
          </w:p>
        </w:tc>
        <w:tc>
          <w:tcPr>
            <w:tcW w:w="1138" w:type="dxa"/>
            <w:vAlign w:val="center"/>
          </w:tcPr>
          <w:p w14:paraId="4C8E41E5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20</w:t>
            </w:r>
          </w:p>
          <w:p w14:paraId="0882D153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(43.5%)</w:t>
            </w:r>
          </w:p>
        </w:tc>
        <w:tc>
          <w:tcPr>
            <w:tcW w:w="1146" w:type="dxa"/>
            <w:vAlign w:val="center"/>
          </w:tcPr>
          <w:p w14:paraId="1DA51C8B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26</w:t>
            </w:r>
          </w:p>
          <w:p w14:paraId="6244CD98" w14:textId="77777777" w:rsidR="00566BEB" w:rsidRPr="00873C62" w:rsidRDefault="00566BEB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(56.5%)</w:t>
            </w:r>
          </w:p>
        </w:tc>
        <w:tc>
          <w:tcPr>
            <w:tcW w:w="1147" w:type="dxa"/>
            <w:vAlign w:val="center"/>
          </w:tcPr>
          <w:p w14:paraId="7A4A65E4" w14:textId="72BA3764" w:rsidR="00D9735C" w:rsidRDefault="00D9735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14:paraId="04903CE7" w14:textId="517BBE2D" w:rsidR="00566BEB" w:rsidRPr="00873C62" w:rsidRDefault="00D9735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(56.7%)</w:t>
            </w:r>
          </w:p>
        </w:tc>
        <w:tc>
          <w:tcPr>
            <w:tcW w:w="1146" w:type="dxa"/>
            <w:vAlign w:val="center"/>
          </w:tcPr>
          <w:p w14:paraId="4E9D28FB" w14:textId="133BA874" w:rsidR="00D9735C" w:rsidRDefault="00D9735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14:paraId="2C7D26FC" w14:textId="0F307409" w:rsidR="00566BEB" w:rsidRPr="00873C62" w:rsidRDefault="00D9735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(43.3%)</w:t>
            </w:r>
          </w:p>
        </w:tc>
        <w:tc>
          <w:tcPr>
            <w:tcW w:w="1131" w:type="dxa"/>
            <w:vAlign w:val="center"/>
          </w:tcPr>
          <w:p w14:paraId="584D6CCF" w14:textId="7F7C524E" w:rsidR="00566BEB" w:rsidRPr="00873C62" w:rsidRDefault="00991CDA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0.260</w:t>
            </w:r>
          </w:p>
        </w:tc>
      </w:tr>
      <w:tr w:rsidR="00DA7083" w:rsidRPr="00873C62" w14:paraId="64162444" w14:textId="77777777" w:rsidTr="00D225D2">
        <w:trPr>
          <w:cantSplit/>
        </w:trPr>
        <w:tc>
          <w:tcPr>
            <w:tcW w:w="3240" w:type="dxa"/>
            <w:vAlign w:val="center"/>
          </w:tcPr>
          <w:p w14:paraId="4DF82A6D" w14:textId="77777777" w:rsidR="0082376F" w:rsidRPr="00873C62" w:rsidRDefault="0082376F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I feel that my medical school training adequately prepared me to assist patients in addressing SDoH.</w:t>
            </w:r>
          </w:p>
        </w:tc>
        <w:tc>
          <w:tcPr>
            <w:tcW w:w="1138" w:type="dxa"/>
            <w:vAlign w:val="center"/>
          </w:tcPr>
          <w:p w14:paraId="4480842B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17</w:t>
            </w:r>
          </w:p>
          <w:p w14:paraId="115B4708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(37.0%)</w:t>
            </w:r>
          </w:p>
        </w:tc>
        <w:tc>
          <w:tcPr>
            <w:tcW w:w="1146" w:type="dxa"/>
            <w:vAlign w:val="center"/>
          </w:tcPr>
          <w:p w14:paraId="75C0B679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29</w:t>
            </w:r>
          </w:p>
          <w:p w14:paraId="7D25457A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(63.0%)</w:t>
            </w:r>
          </w:p>
        </w:tc>
        <w:tc>
          <w:tcPr>
            <w:tcW w:w="1147" w:type="dxa"/>
            <w:vAlign w:val="center"/>
          </w:tcPr>
          <w:p w14:paraId="19E74D89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21</w:t>
            </w:r>
          </w:p>
          <w:p w14:paraId="5996501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(70.0%)</w:t>
            </w:r>
          </w:p>
        </w:tc>
        <w:tc>
          <w:tcPr>
            <w:tcW w:w="1146" w:type="dxa"/>
            <w:vAlign w:val="center"/>
          </w:tcPr>
          <w:p w14:paraId="768C7672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9</w:t>
            </w:r>
          </w:p>
          <w:p w14:paraId="05A8F4AB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(30.0%)</w:t>
            </w:r>
          </w:p>
        </w:tc>
        <w:tc>
          <w:tcPr>
            <w:tcW w:w="1131" w:type="dxa"/>
            <w:vAlign w:val="center"/>
          </w:tcPr>
          <w:p w14:paraId="3DBF0456" w14:textId="59EF635B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0.005</w:t>
            </w:r>
            <w:r w:rsidR="008B4F18" w:rsidRPr="00873C62">
              <w:rPr>
                <w:rFonts w:cstheme="minorHAnsi"/>
                <w:sz w:val="24"/>
                <w:szCs w:val="24"/>
              </w:rPr>
              <w:t xml:space="preserve"> </w:t>
            </w:r>
            <w:r w:rsidR="000B72D6" w:rsidRPr="00873C62">
              <w:rPr>
                <w:rFonts w:cstheme="minorHAnsi"/>
                <w:sz w:val="24"/>
                <w:szCs w:val="24"/>
                <w:vertAlign w:val="superscript"/>
              </w:rPr>
              <w:t>c</w:t>
            </w:r>
          </w:p>
        </w:tc>
      </w:tr>
      <w:tr w:rsidR="00DA7083" w:rsidRPr="00873C62" w14:paraId="7EDBFC71" w14:textId="77777777" w:rsidTr="00D225D2">
        <w:trPr>
          <w:cantSplit/>
        </w:trPr>
        <w:tc>
          <w:tcPr>
            <w:tcW w:w="3240" w:type="dxa"/>
            <w:vAlign w:val="center"/>
          </w:tcPr>
          <w:p w14:paraId="407A3A6A" w14:textId="77777777" w:rsidR="0082376F" w:rsidRPr="00873C62" w:rsidRDefault="0082376F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lastRenderedPageBreak/>
              <w:t>I would like to receive more training on health disparities/SDoH.</w:t>
            </w:r>
          </w:p>
        </w:tc>
        <w:tc>
          <w:tcPr>
            <w:tcW w:w="1138" w:type="dxa"/>
            <w:vAlign w:val="center"/>
          </w:tcPr>
          <w:p w14:paraId="2C1FDC0F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40</w:t>
            </w:r>
          </w:p>
          <w:p w14:paraId="5D4A0656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(87.0%)</w:t>
            </w:r>
          </w:p>
        </w:tc>
        <w:tc>
          <w:tcPr>
            <w:tcW w:w="1146" w:type="dxa"/>
            <w:vAlign w:val="center"/>
          </w:tcPr>
          <w:p w14:paraId="7BE1F7B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6</w:t>
            </w:r>
          </w:p>
          <w:p w14:paraId="26EA2072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(13.0%)</w:t>
            </w:r>
          </w:p>
        </w:tc>
        <w:tc>
          <w:tcPr>
            <w:tcW w:w="1147" w:type="dxa"/>
            <w:vAlign w:val="center"/>
          </w:tcPr>
          <w:p w14:paraId="7EEB88F5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27</w:t>
            </w:r>
          </w:p>
          <w:p w14:paraId="2CF20D26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(90.0%)</w:t>
            </w:r>
          </w:p>
        </w:tc>
        <w:tc>
          <w:tcPr>
            <w:tcW w:w="1146" w:type="dxa"/>
            <w:vAlign w:val="center"/>
          </w:tcPr>
          <w:p w14:paraId="5CEF453E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</w:t>
            </w:r>
          </w:p>
          <w:p w14:paraId="62403E94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(10.0%)</w:t>
            </w:r>
          </w:p>
        </w:tc>
        <w:tc>
          <w:tcPr>
            <w:tcW w:w="1131" w:type="dxa"/>
            <w:vAlign w:val="center"/>
          </w:tcPr>
          <w:p w14:paraId="55AD928D" w14:textId="77777777" w:rsidR="0082376F" w:rsidRPr="00873C62" w:rsidRDefault="0082376F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0.688</w:t>
            </w:r>
          </w:p>
        </w:tc>
      </w:tr>
      <w:tr w:rsidR="00652366" w:rsidRPr="00873C62" w14:paraId="16DEEF7D" w14:textId="77777777" w:rsidTr="00B12266">
        <w:trPr>
          <w:cantSplit/>
        </w:trPr>
        <w:tc>
          <w:tcPr>
            <w:tcW w:w="3240" w:type="dxa"/>
            <w:vAlign w:val="center"/>
          </w:tcPr>
          <w:p w14:paraId="04E8C5EB" w14:textId="78584EE1" w:rsidR="00652366" w:rsidRPr="00873C62" w:rsidRDefault="00652366" w:rsidP="00B122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C62">
              <w:rPr>
                <w:rFonts w:cstheme="minorHAnsi"/>
                <w:b/>
                <w:bCs/>
                <w:kern w:val="0"/>
                <w:sz w:val="24"/>
                <w:szCs w:val="24"/>
              </w:rPr>
              <w:t>Neighborhood Navigator tool</w:t>
            </w:r>
          </w:p>
        </w:tc>
        <w:tc>
          <w:tcPr>
            <w:tcW w:w="1138" w:type="dxa"/>
            <w:vAlign w:val="center"/>
          </w:tcPr>
          <w:p w14:paraId="70FD6DFC" w14:textId="77777777" w:rsidR="00652366" w:rsidRPr="00873C62" w:rsidRDefault="0065236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45713D6E" w14:textId="77777777" w:rsidR="00652366" w:rsidRPr="00873C62" w:rsidRDefault="0065236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244E798F" w14:textId="77777777" w:rsidR="00652366" w:rsidRPr="00873C62" w:rsidRDefault="0065236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719A1932" w14:textId="77777777" w:rsidR="00652366" w:rsidRPr="00873C62" w:rsidRDefault="0065236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FC5807C" w14:textId="77777777" w:rsidR="00652366" w:rsidRPr="00873C62" w:rsidRDefault="00652366" w:rsidP="00B12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1564" w:rsidRPr="00873C62" w14:paraId="6F68A647" w14:textId="77777777" w:rsidTr="00717325">
        <w:trPr>
          <w:cantSplit/>
        </w:trPr>
        <w:tc>
          <w:tcPr>
            <w:tcW w:w="3240" w:type="dxa"/>
            <w:vAlign w:val="center"/>
          </w:tcPr>
          <w:p w14:paraId="10950A28" w14:textId="77777777" w:rsidR="00CE0F2C" w:rsidRPr="00873C62" w:rsidRDefault="00CE0F2C" w:rsidP="00B12266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I am likely to incorporate the AAFP Neighborhood Navigator tool into patient visits.</w:t>
            </w:r>
          </w:p>
        </w:tc>
        <w:tc>
          <w:tcPr>
            <w:tcW w:w="1138" w:type="dxa"/>
            <w:vAlign w:val="center"/>
          </w:tcPr>
          <w:p w14:paraId="40B34D6A" w14:textId="18A5EB52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146" w:type="dxa"/>
            <w:vAlign w:val="center"/>
          </w:tcPr>
          <w:p w14:paraId="39ADADC8" w14:textId="3535541B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147" w:type="dxa"/>
            <w:vAlign w:val="center"/>
          </w:tcPr>
          <w:p w14:paraId="56F09611" w14:textId="77777777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30</w:t>
            </w:r>
          </w:p>
          <w:p w14:paraId="66B9DDCB" w14:textId="77777777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(100.0%)</w:t>
            </w:r>
          </w:p>
        </w:tc>
        <w:tc>
          <w:tcPr>
            <w:tcW w:w="1146" w:type="dxa"/>
            <w:vAlign w:val="center"/>
          </w:tcPr>
          <w:p w14:paraId="037EA9DD" w14:textId="77777777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</w:t>
            </w:r>
          </w:p>
          <w:p w14:paraId="2D473317" w14:textId="77777777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(0.0%)</w:t>
            </w:r>
          </w:p>
        </w:tc>
        <w:tc>
          <w:tcPr>
            <w:tcW w:w="1131" w:type="dxa"/>
            <w:vAlign w:val="center"/>
          </w:tcPr>
          <w:p w14:paraId="1F7FCEDA" w14:textId="77777777" w:rsidR="00CE0F2C" w:rsidRPr="00873C62" w:rsidRDefault="00CE0F2C" w:rsidP="00B12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564" w:rsidRPr="00873C62" w14:paraId="241A8ADC" w14:textId="77777777" w:rsidTr="00717325">
        <w:trPr>
          <w:cantSplit/>
        </w:trPr>
        <w:tc>
          <w:tcPr>
            <w:tcW w:w="3240" w:type="dxa"/>
            <w:vAlign w:val="center"/>
          </w:tcPr>
          <w:p w14:paraId="00774B7A" w14:textId="77777777" w:rsidR="00CE0F2C" w:rsidRPr="00873C62" w:rsidRDefault="00CE0F2C" w:rsidP="00CE0F2C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The AAFP Neighborhood Navigator would be impactful in discharge planning with patients.</w:t>
            </w:r>
          </w:p>
        </w:tc>
        <w:tc>
          <w:tcPr>
            <w:tcW w:w="1138" w:type="dxa"/>
            <w:vAlign w:val="center"/>
          </w:tcPr>
          <w:p w14:paraId="7B973FD0" w14:textId="5904DB49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146" w:type="dxa"/>
            <w:vAlign w:val="center"/>
          </w:tcPr>
          <w:p w14:paraId="74780D1D" w14:textId="2A5D6DAA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147" w:type="dxa"/>
            <w:vAlign w:val="center"/>
          </w:tcPr>
          <w:p w14:paraId="3C9C1556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30 (100.0%)</w:t>
            </w:r>
          </w:p>
        </w:tc>
        <w:tc>
          <w:tcPr>
            <w:tcW w:w="1146" w:type="dxa"/>
            <w:vAlign w:val="center"/>
          </w:tcPr>
          <w:p w14:paraId="4AEB4B33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</w:t>
            </w:r>
          </w:p>
          <w:p w14:paraId="3FB0BDE4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 xml:space="preserve"> (0.0%)</w:t>
            </w:r>
          </w:p>
        </w:tc>
        <w:tc>
          <w:tcPr>
            <w:tcW w:w="1131" w:type="dxa"/>
            <w:vAlign w:val="center"/>
          </w:tcPr>
          <w:p w14:paraId="7A71AFE9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564" w:rsidRPr="003F697B" w14:paraId="75867835" w14:textId="77777777" w:rsidTr="00717325">
        <w:trPr>
          <w:cantSplit/>
        </w:trPr>
        <w:tc>
          <w:tcPr>
            <w:tcW w:w="3240" w:type="dxa"/>
            <w:vAlign w:val="center"/>
          </w:tcPr>
          <w:p w14:paraId="3C228FDB" w14:textId="77777777" w:rsidR="00CE0F2C" w:rsidRPr="00873C62" w:rsidRDefault="00CE0F2C" w:rsidP="00CE0F2C">
            <w:pPr>
              <w:rPr>
                <w:rFonts w:cstheme="minorHAnsi"/>
                <w:kern w:val="0"/>
                <w:sz w:val="24"/>
                <w:szCs w:val="24"/>
              </w:rPr>
            </w:pPr>
            <w:r w:rsidRPr="00873C62">
              <w:rPr>
                <w:rFonts w:cstheme="minorHAnsi"/>
                <w:kern w:val="0"/>
                <w:sz w:val="24"/>
                <w:szCs w:val="24"/>
              </w:rPr>
              <w:t>The AAFP Neighborhood Navigator would be helpful both in inpatient and outpatient setting.</w:t>
            </w:r>
          </w:p>
        </w:tc>
        <w:tc>
          <w:tcPr>
            <w:tcW w:w="1138" w:type="dxa"/>
            <w:vAlign w:val="center"/>
          </w:tcPr>
          <w:p w14:paraId="14F59E1A" w14:textId="0764227B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146" w:type="dxa"/>
            <w:vAlign w:val="center"/>
          </w:tcPr>
          <w:p w14:paraId="2DBF013F" w14:textId="278B8E72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147" w:type="dxa"/>
            <w:vAlign w:val="center"/>
          </w:tcPr>
          <w:p w14:paraId="139F9166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30</w:t>
            </w:r>
          </w:p>
          <w:p w14:paraId="6B99C2C7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(100.0%)</w:t>
            </w:r>
          </w:p>
        </w:tc>
        <w:tc>
          <w:tcPr>
            <w:tcW w:w="1146" w:type="dxa"/>
            <w:vAlign w:val="center"/>
          </w:tcPr>
          <w:p w14:paraId="04D24C80" w14:textId="77777777" w:rsidR="00CE0F2C" w:rsidRPr="00873C62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0</w:t>
            </w:r>
          </w:p>
          <w:p w14:paraId="12CD75E3" w14:textId="77777777" w:rsidR="00CE0F2C" w:rsidRPr="00745521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62">
              <w:rPr>
                <w:rFonts w:cstheme="minorHAnsi"/>
                <w:sz w:val="24"/>
                <w:szCs w:val="24"/>
              </w:rPr>
              <w:t>(0.0%)</w:t>
            </w:r>
          </w:p>
        </w:tc>
        <w:tc>
          <w:tcPr>
            <w:tcW w:w="1131" w:type="dxa"/>
            <w:vAlign w:val="center"/>
          </w:tcPr>
          <w:p w14:paraId="6F303F75" w14:textId="77777777" w:rsidR="00CE0F2C" w:rsidRPr="00745521" w:rsidRDefault="00CE0F2C" w:rsidP="00CE0F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7A0EB5C" w14:textId="77777777" w:rsidR="0082376F" w:rsidRPr="003F697B" w:rsidRDefault="0082376F" w:rsidP="0082376F">
      <w:pPr>
        <w:rPr>
          <w:rFonts w:cstheme="minorHAnsi"/>
          <w:sz w:val="24"/>
          <w:szCs w:val="24"/>
        </w:rPr>
      </w:pPr>
      <w:r w:rsidRPr="003F697B">
        <w:rPr>
          <w:rFonts w:cstheme="minorHAnsi"/>
          <w:sz w:val="24"/>
          <w:szCs w:val="24"/>
        </w:rPr>
        <w:t>AAFP, American Association of Family Physicians; SDoH, social determinants of health.</w:t>
      </w:r>
    </w:p>
    <w:p w14:paraId="36414D51" w14:textId="3A106204" w:rsidR="00B8011E" w:rsidRPr="00497676" w:rsidRDefault="00981271" w:rsidP="0082376F">
      <w:pPr>
        <w:rPr>
          <w:rFonts w:cstheme="minorHAnsi"/>
          <w:sz w:val="24"/>
          <w:szCs w:val="24"/>
        </w:rPr>
      </w:pPr>
      <w:r w:rsidRPr="00497676">
        <w:rPr>
          <w:rFonts w:cstheme="minorHAnsi"/>
          <w:sz w:val="24"/>
          <w:szCs w:val="24"/>
          <w:vertAlign w:val="superscript"/>
        </w:rPr>
        <w:t xml:space="preserve">a </w:t>
      </w:r>
      <w:proofErr w:type="gramStart"/>
      <w:r w:rsidR="007E0CDB" w:rsidRPr="00497676">
        <w:rPr>
          <w:rFonts w:cstheme="minorHAnsi"/>
          <w:sz w:val="24"/>
          <w:szCs w:val="24"/>
        </w:rPr>
        <w:t>S</w:t>
      </w:r>
      <w:r w:rsidR="0082376F" w:rsidRPr="00497676">
        <w:rPr>
          <w:rFonts w:cstheme="minorHAnsi"/>
          <w:sz w:val="24"/>
          <w:szCs w:val="24"/>
        </w:rPr>
        <w:t>urvey responses</w:t>
      </w:r>
      <w:proofErr w:type="gramEnd"/>
      <w:r w:rsidR="007E0CDB" w:rsidRPr="00497676">
        <w:rPr>
          <w:rFonts w:cstheme="minorHAnsi"/>
          <w:sz w:val="24"/>
          <w:szCs w:val="24"/>
        </w:rPr>
        <w:t xml:space="preserve"> were</w:t>
      </w:r>
      <w:r w:rsidR="0082376F" w:rsidRPr="00497676">
        <w:rPr>
          <w:rFonts w:cstheme="minorHAnsi"/>
          <w:sz w:val="24"/>
          <w:szCs w:val="24"/>
        </w:rPr>
        <w:t xml:space="preserve"> dichotomized as agreement (“Strongly Agree/Agree”</w:t>
      </w:r>
      <w:r w:rsidR="00046C23" w:rsidRPr="00497676">
        <w:rPr>
          <w:rFonts w:cstheme="minorHAnsi"/>
          <w:sz w:val="24"/>
          <w:szCs w:val="24"/>
        </w:rPr>
        <w:t>)</w:t>
      </w:r>
      <w:r w:rsidR="0082376F" w:rsidRPr="00497676">
        <w:rPr>
          <w:rFonts w:cstheme="minorHAnsi"/>
          <w:sz w:val="24"/>
          <w:szCs w:val="24"/>
        </w:rPr>
        <w:t xml:space="preserve"> or disagreement (“Neutral/Disagree/Strongly Disagree”). </w:t>
      </w:r>
    </w:p>
    <w:p w14:paraId="237209C1" w14:textId="0AA7D3AC" w:rsidR="0082376F" w:rsidRPr="00497676" w:rsidRDefault="00981271" w:rsidP="0082376F">
      <w:pPr>
        <w:rPr>
          <w:rFonts w:cstheme="minorHAnsi"/>
          <w:sz w:val="24"/>
          <w:szCs w:val="24"/>
        </w:rPr>
      </w:pPr>
      <w:r w:rsidRPr="00497676">
        <w:rPr>
          <w:rFonts w:cstheme="minorHAnsi"/>
          <w:sz w:val="24"/>
          <w:szCs w:val="24"/>
          <w:vertAlign w:val="superscript"/>
        </w:rPr>
        <w:t xml:space="preserve">b </w:t>
      </w:r>
      <w:r w:rsidR="0082376F" w:rsidRPr="00497676">
        <w:rPr>
          <w:rFonts w:cstheme="minorHAnsi"/>
          <w:sz w:val="24"/>
          <w:szCs w:val="24"/>
        </w:rPr>
        <w:t>Statistical analysis included chi-square test for pre- and post-test comparisons</w:t>
      </w:r>
      <w:r w:rsidR="004A047C" w:rsidRPr="00497676">
        <w:rPr>
          <w:rFonts w:cstheme="minorHAnsi"/>
          <w:sz w:val="24"/>
          <w:szCs w:val="24"/>
        </w:rPr>
        <w:t xml:space="preserve"> </w:t>
      </w:r>
      <w:r w:rsidR="0082376F" w:rsidRPr="00497676">
        <w:rPr>
          <w:rFonts w:cstheme="minorHAnsi"/>
          <w:sz w:val="24"/>
          <w:szCs w:val="24"/>
        </w:rPr>
        <w:t xml:space="preserve">and Fisher exact test </w:t>
      </w:r>
      <w:r w:rsidR="004A047C" w:rsidRPr="00497676">
        <w:rPr>
          <w:rFonts w:cstheme="minorHAnsi"/>
          <w:sz w:val="24"/>
          <w:szCs w:val="24"/>
        </w:rPr>
        <w:t>when</w:t>
      </w:r>
      <w:r w:rsidR="0082376F" w:rsidRPr="00497676">
        <w:rPr>
          <w:rFonts w:cstheme="minorHAnsi"/>
          <w:sz w:val="24"/>
          <w:szCs w:val="24"/>
        </w:rPr>
        <w:t xml:space="preserve"> cells contained less than 5. A p-value </w:t>
      </w:r>
      <w:r w:rsidR="008A4641">
        <w:rPr>
          <w:rFonts w:cstheme="minorHAnsi"/>
          <w:sz w:val="24"/>
          <w:szCs w:val="24"/>
        </w:rPr>
        <w:t>&lt;</w:t>
      </w:r>
      <w:r w:rsidR="0082376F" w:rsidRPr="00497676">
        <w:rPr>
          <w:rFonts w:cstheme="minorHAnsi"/>
          <w:sz w:val="24"/>
          <w:szCs w:val="24"/>
        </w:rPr>
        <w:t xml:space="preserve"> 0.05 was set as statistically significant</w:t>
      </w:r>
      <w:r w:rsidR="004A047C" w:rsidRPr="00497676">
        <w:rPr>
          <w:rFonts w:cstheme="minorHAnsi"/>
          <w:sz w:val="24"/>
          <w:szCs w:val="24"/>
        </w:rPr>
        <w:t>.</w:t>
      </w:r>
    </w:p>
    <w:p w14:paraId="79761467" w14:textId="1F9D8D38" w:rsidR="00213B9E" w:rsidRPr="00497676" w:rsidRDefault="00981271" w:rsidP="0082376F">
      <w:pPr>
        <w:rPr>
          <w:rFonts w:cstheme="minorHAnsi"/>
          <w:sz w:val="24"/>
          <w:szCs w:val="24"/>
        </w:rPr>
      </w:pPr>
      <w:r w:rsidRPr="00497676">
        <w:rPr>
          <w:rFonts w:cstheme="minorHAnsi"/>
          <w:sz w:val="24"/>
          <w:szCs w:val="24"/>
          <w:vertAlign w:val="superscript"/>
        </w:rPr>
        <w:t>c</w:t>
      </w:r>
      <w:r w:rsidR="00213B9E" w:rsidRPr="00497676">
        <w:rPr>
          <w:rFonts w:cstheme="minorHAnsi"/>
          <w:sz w:val="24"/>
          <w:szCs w:val="24"/>
          <w:vertAlign w:val="superscript"/>
        </w:rPr>
        <w:t xml:space="preserve"> </w:t>
      </w:r>
      <w:r w:rsidR="00213B9E" w:rsidRPr="00497676">
        <w:rPr>
          <w:rFonts w:cstheme="minorHAnsi"/>
          <w:sz w:val="24"/>
          <w:szCs w:val="24"/>
        </w:rPr>
        <w:t>Fisher exact test</w:t>
      </w:r>
    </w:p>
    <w:p w14:paraId="5DCD4D35" w14:textId="77777777" w:rsidR="0082376F" w:rsidRDefault="0082376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57F6D1B" w14:textId="57718D95" w:rsidR="0082376F" w:rsidRDefault="0082376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 w:type="page"/>
      </w:r>
    </w:p>
    <w:p w14:paraId="3D3630E0" w14:textId="637029CD" w:rsidR="00BC02C1" w:rsidRPr="001A01BF" w:rsidRDefault="00D21741">
      <w:pPr>
        <w:rPr>
          <w:sz w:val="24"/>
          <w:szCs w:val="24"/>
        </w:rPr>
      </w:pPr>
      <w:r w:rsidRPr="00FF33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Table </w:t>
      </w:r>
      <w:r w:rsidR="004443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FF33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Pr="00FF332E">
        <w:rPr>
          <w:rFonts w:ascii="Calibri" w:eastAsia="Times New Roman" w:hAnsi="Calibri" w:cs="Calibri"/>
          <w:color w:val="000000"/>
          <w:sz w:val="24"/>
          <w:szCs w:val="24"/>
        </w:rPr>
        <w:t xml:space="preserve"> Qualitative Feedback Regarding Most Applicable Elements of </w:t>
      </w:r>
      <w:r w:rsidR="002E582F" w:rsidRPr="00FF332E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FF332E">
        <w:rPr>
          <w:rFonts w:ascii="Calibri" w:eastAsia="Times New Roman" w:hAnsi="Calibri" w:cs="Calibri"/>
          <w:color w:val="000000"/>
          <w:sz w:val="24"/>
          <w:szCs w:val="24"/>
        </w:rPr>
        <w:t>Navigator Tool</w:t>
      </w:r>
      <w:r w:rsidR="003C6AE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C6AE4" w:rsidRPr="00FF332E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5400"/>
        <w:gridCol w:w="1267"/>
        <w:gridCol w:w="1788"/>
      </w:tblGrid>
      <w:tr w:rsidR="00D21741" w:rsidRPr="001A01BF" w14:paraId="764AF091" w14:textId="77777777" w:rsidTr="00717325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D890D0" w14:textId="61007FC7" w:rsidR="00D21741" w:rsidRPr="00FF332E" w:rsidRDefault="00B26469" w:rsidP="0016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F3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Type of Aid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387445" w14:textId="49B93ADB" w:rsidR="00D21741" w:rsidRPr="00FF332E" w:rsidRDefault="00F1664A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of Responses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D16CE2" w14:textId="41A7065F" w:rsidR="00D21741" w:rsidRPr="00FF332E" w:rsidRDefault="00F1664A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 of Respondents</w:t>
            </w:r>
            <w:r w:rsidR="00967F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F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03138" w:rsidRPr="001A01BF" w14:paraId="170DEF05" w14:textId="77777777" w:rsidTr="00717325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72069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Financial Assistance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31C6F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6A252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45.6%</w:t>
            </w:r>
          </w:p>
        </w:tc>
      </w:tr>
      <w:tr w:rsidR="00B03138" w:rsidRPr="001A01BF" w14:paraId="23E81930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5462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 Cost Assistance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49B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E034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17.6%</w:t>
            </w:r>
          </w:p>
        </w:tc>
      </w:tr>
      <w:tr w:rsidR="00B03138" w:rsidRPr="001A01BF" w14:paraId="590D141A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84D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General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EDA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F29B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7.4%</w:t>
            </w:r>
          </w:p>
        </w:tc>
      </w:tr>
      <w:tr w:rsidR="00B03138" w:rsidRPr="001A01BF" w14:paraId="0C0794EA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395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Assistance for Chronic Disease Management/Treatment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58AC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ADC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7.4%</w:t>
            </w:r>
          </w:p>
        </w:tc>
      </w:tr>
      <w:tr w:rsidR="00B03138" w:rsidRPr="001A01BF" w14:paraId="43D08475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99A5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Nutrition/Food Insecurity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11B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FB32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5.9%</w:t>
            </w:r>
          </w:p>
        </w:tc>
      </w:tr>
      <w:tr w:rsidR="00B03138" w:rsidRPr="001A01BF" w14:paraId="7B2752F7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76F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Assistance For Treatment of SUD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96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FFB9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4.4%</w:t>
            </w:r>
          </w:p>
        </w:tc>
      </w:tr>
      <w:tr w:rsidR="00B03138" w:rsidRPr="001A01BF" w14:paraId="49ADB905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A30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Housing Assistance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209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E1DD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37B0CD03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793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Financial Assistance for Utilities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55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0FC4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2367AB3E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5BAD8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Access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DA047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A72EC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55.9%</w:t>
            </w:r>
          </w:p>
        </w:tc>
      </w:tr>
      <w:tr w:rsidR="00B03138" w:rsidRPr="001A01BF" w14:paraId="54DDE34F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64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Transportation Services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C3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A5A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35.3%</w:t>
            </w:r>
          </w:p>
        </w:tc>
      </w:tr>
      <w:tr w:rsidR="00B03138" w:rsidRPr="001A01BF" w14:paraId="627635DE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506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Medical Supplies and/or Home Health Services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386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EE8B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14.7%</w:t>
            </w:r>
          </w:p>
        </w:tc>
      </w:tr>
      <w:tr w:rsidR="00B03138" w:rsidRPr="001A01BF" w14:paraId="602E4F33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AA6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Vaccine Assistance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CCF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70CE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28DA355A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27D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2E2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EA1C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57B6A0DE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6DD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Meal Delivery Services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CD5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541C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4D8E602C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7AB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Medicare Assistance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7A0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E147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790ED6E5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9BB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Animal Care Assistance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B4A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E659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6AB6E463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704FA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Support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6D957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CB55F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23.5%</w:t>
            </w:r>
          </w:p>
        </w:tc>
      </w:tr>
      <w:tr w:rsidR="00B03138" w:rsidRPr="001A01BF" w14:paraId="59D1B787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2DE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Support Groups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D83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43A4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5.9%</w:t>
            </w:r>
          </w:p>
        </w:tc>
      </w:tr>
      <w:tr w:rsidR="00B03138" w:rsidRPr="001A01BF" w14:paraId="316C0396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4C9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for Chronic Disease Management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EB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C6D1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5.9%</w:t>
            </w:r>
          </w:p>
        </w:tc>
      </w:tr>
      <w:tr w:rsidR="00B03138" w:rsidRPr="001A01BF" w14:paraId="487A2E7E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C28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Bereavement Support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C20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2068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2.9%</w:t>
            </w:r>
          </w:p>
        </w:tc>
      </w:tr>
      <w:tr w:rsidR="00B03138" w:rsidRPr="001A01BF" w14:paraId="3E7EA488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328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Nutritional Education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EAB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D53F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2.9%</w:t>
            </w:r>
          </w:p>
        </w:tc>
      </w:tr>
      <w:tr w:rsidR="00B03138" w:rsidRPr="001A01BF" w14:paraId="64C59420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CA9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Placement Assistance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E69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D2C5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2.9%</w:t>
            </w:r>
          </w:p>
        </w:tc>
      </w:tr>
      <w:tr w:rsidR="00B03138" w:rsidRPr="001A01BF" w14:paraId="336D87CF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12F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Caregiver Support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E94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D10D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  <w:tr w:rsidR="00B03138" w:rsidRPr="001A01BF" w14:paraId="0B632040" w14:textId="77777777" w:rsidTr="0071732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0DC" w14:textId="77777777" w:rsidR="00B03138" w:rsidRPr="00FF332E" w:rsidRDefault="00B03138" w:rsidP="0016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Exercise Resources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788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54C7" w14:textId="77777777" w:rsidR="00B03138" w:rsidRPr="00FF332E" w:rsidRDefault="00B03138" w:rsidP="00FF3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33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1.5%</w:t>
            </w:r>
          </w:p>
        </w:tc>
      </w:tr>
    </w:tbl>
    <w:p w14:paraId="418D0DC0" w14:textId="6B32DB1E" w:rsidR="00B03138" w:rsidRPr="000D1414" w:rsidRDefault="00B26469">
      <w:pPr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FF332E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a</w:t>
      </w:r>
      <w:r w:rsidRPr="00FF332E" w:rsidDel="00B264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After the lecture</w:t>
      </w:r>
      <w:r w:rsid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and 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</w:t>
      </w:r>
      <w:r w:rsid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-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class application exercise</w:t>
      </w:r>
      <w:r w:rsid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students</w:t>
      </w:r>
      <w:r w:rsid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were asked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to email the instructor </w:t>
      </w:r>
      <w:r w:rsidR="00881B7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and report 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which features of Neighborhood Navigator Tool</w:t>
      </w:r>
      <w:r w:rsidR="00C0051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they felt</w:t>
      </w:r>
      <w:r w:rsidR="00145916" w:rsidRPr="001459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were most applicable for their patient population. </w:t>
      </w:r>
      <w:r w:rsidRPr="00FF332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Participants could cite more than one item</w:t>
      </w:r>
      <w:r w:rsidR="00B4494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B4494E" w:rsidRPr="000D141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 the solicited</w:t>
      </w:r>
      <w:r w:rsidR="00DF4666" w:rsidRPr="000D141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DF4666" w:rsidRPr="00717325">
        <w:rPr>
          <w:i/>
          <w:iCs/>
          <w:noProof/>
          <w:sz w:val="24"/>
          <w:szCs w:val="24"/>
        </w:rPr>
        <w:t>e-mailed responses</w:t>
      </w:r>
      <w:r w:rsidR="00B4494E" w:rsidRPr="00717325">
        <w:rPr>
          <w:i/>
          <w:iCs/>
          <w:noProof/>
          <w:sz w:val="24"/>
          <w:szCs w:val="24"/>
        </w:rPr>
        <w:t>.</w:t>
      </w:r>
      <w:r w:rsidR="00DF4666" w:rsidRPr="00717325">
        <w:rPr>
          <w:i/>
          <w:iCs/>
          <w:noProof/>
          <w:sz w:val="24"/>
          <w:szCs w:val="24"/>
        </w:rPr>
        <w:t xml:space="preserve"> </w:t>
      </w:r>
    </w:p>
    <w:p w14:paraId="1C16C693" w14:textId="77E66D36" w:rsidR="00C16FBA" w:rsidRPr="00717325" w:rsidRDefault="00C16FBA">
      <w:pPr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vertAlign w:val="superscript"/>
        </w:rPr>
        <w:t>b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Responses were received from 68 </w:t>
      </w:r>
      <w:r w:rsidR="003F6FA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students</w:t>
      </w:r>
      <w:r w:rsidR="00A90E5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</w:t>
      </w:r>
    </w:p>
    <w:p w14:paraId="5B10DCBA" w14:textId="4909F2C5" w:rsidR="00BC02C1" w:rsidRPr="001A01BF" w:rsidRDefault="00BC02C1">
      <w:pPr>
        <w:rPr>
          <w:sz w:val="24"/>
          <w:szCs w:val="24"/>
        </w:rPr>
      </w:pPr>
      <w:r w:rsidRPr="001A01BF">
        <w:rPr>
          <w:sz w:val="24"/>
          <w:szCs w:val="24"/>
        </w:rPr>
        <w:br w:type="page"/>
      </w:r>
    </w:p>
    <w:p w14:paraId="1DB340F1" w14:textId="77777777" w:rsidR="00330E9F" w:rsidRPr="001A01BF" w:rsidRDefault="00330E9F">
      <w:pPr>
        <w:rPr>
          <w:sz w:val="24"/>
          <w:szCs w:val="24"/>
        </w:rPr>
      </w:pPr>
    </w:p>
    <w:p w14:paraId="1CF4E893" w14:textId="3E8823BB" w:rsidR="00330E9F" w:rsidRPr="00FF332E" w:rsidRDefault="00330E9F">
      <w:pPr>
        <w:rPr>
          <w:rFonts w:cstheme="minorHAnsi"/>
          <w:b/>
          <w:bCs/>
          <w:sz w:val="24"/>
          <w:szCs w:val="24"/>
        </w:rPr>
      </w:pPr>
      <w:r w:rsidRPr="00FF332E">
        <w:rPr>
          <w:rFonts w:cstheme="minorHAnsi"/>
          <w:b/>
          <w:bCs/>
          <w:sz w:val="24"/>
          <w:szCs w:val="24"/>
        </w:rPr>
        <w:t>REFERENCES</w:t>
      </w:r>
    </w:p>
    <w:p w14:paraId="262CF3C6" w14:textId="190D0855" w:rsidR="00F63B73" w:rsidRPr="001A01BF" w:rsidRDefault="00643ACA" w:rsidP="00F63B7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643ACA">
        <w:rPr>
          <w:rFonts w:asciiTheme="minorHAnsi" w:hAnsiTheme="minorHAnsi" w:cstheme="minorHAnsi"/>
        </w:rPr>
        <w:t>Booske</w:t>
      </w:r>
      <w:proofErr w:type="spellEnd"/>
      <w:r w:rsidRPr="00643ACA">
        <w:rPr>
          <w:rFonts w:asciiTheme="minorHAnsi" w:hAnsiTheme="minorHAnsi" w:cstheme="minorHAnsi"/>
        </w:rPr>
        <w:t xml:space="preserve"> BC, Athens JK, Kindig DA, Park H, Remington PL. County health rankings working paper. Different perspectives for assigning weights to determinants of health. University of Wisconsin Population Health Institute. www.countyhealthrankings.org/sites/default/files/differentPerspectivesForAssigningWeightsToDeterminantsOfHealth.pdf.</w:t>
      </w:r>
      <w:r w:rsidRPr="00643ACA" w:rsidDel="00643ACA">
        <w:rPr>
          <w:rFonts w:asciiTheme="minorHAnsi" w:hAnsiTheme="minorHAnsi" w:cstheme="minorHAnsi"/>
        </w:rPr>
        <w:t xml:space="preserve"> </w:t>
      </w:r>
      <w:r w:rsidR="00F63B73" w:rsidRPr="001A01BF">
        <w:rPr>
          <w:rFonts w:asciiTheme="minorHAnsi" w:hAnsiTheme="minorHAnsi" w:cstheme="minorHAnsi"/>
        </w:rPr>
        <w:t xml:space="preserve">Accessed November 30, 2021. </w:t>
      </w:r>
    </w:p>
    <w:p w14:paraId="09DD62A7" w14:textId="77777777" w:rsidR="00683BE5" w:rsidRPr="001A01BF" w:rsidRDefault="00683BE5" w:rsidP="00683BE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A01BF">
        <w:rPr>
          <w:rFonts w:asciiTheme="minorHAnsi" w:hAnsiTheme="minorHAnsi" w:cstheme="minorHAnsi"/>
        </w:rPr>
        <w:t xml:space="preserve">Andermann A. </w:t>
      </w:r>
      <w:proofErr w:type="gramStart"/>
      <w:r w:rsidRPr="001A01BF">
        <w:rPr>
          <w:rFonts w:asciiTheme="minorHAnsi" w:hAnsiTheme="minorHAnsi" w:cstheme="minorHAnsi"/>
        </w:rPr>
        <w:t>Taking action</w:t>
      </w:r>
      <w:proofErr w:type="gramEnd"/>
      <w:r w:rsidRPr="001A01BF">
        <w:rPr>
          <w:rFonts w:asciiTheme="minorHAnsi" w:hAnsiTheme="minorHAnsi" w:cstheme="minorHAnsi"/>
        </w:rPr>
        <w:t xml:space="preserve"> on the social determinants of Health in Clinical Practice: A framework for health professionals. </w:t>
      </w:r>
      <w:r w:rsidRPr="001A01BF">
        <w:rPr>
          <w:rFonts w:asciiTheme="minorHAnsi" w:hAnsiTheme="minorHAnsi" w:cstheme="minorHAnsi"/>
          <w:i/>
          <w:iCs/>
        </w:rPr>
        <w:t>Canadian Medical Association Journal</w:t>
      </w:r>
      <w:r w:rsidRPr="001A01BF">
        <w:rPr>
          <w:rFonts w:asciiTheme="minorHAnsi" w:hAnsiTheme="minorHAnsi" w:cstheme="minorHAnsi"/>
        </w:rPr>
        <w:t xml:space="preserve">. 2016;188(17-18). doi:10.1503/cmaj.160177 </w:t>
      </w:r>
    </w:p>
    <w:p w14:paraId="0D1E5199" w14:textId="77777777" w:rsidR="00683BE5" w:rsidRPr="001A01BF" w:rsidRDefault="00683BE5" w:rsidP="00683BE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A01BF">
        <w:rPr>
          <w:rFonts w:asciiTheme="minorHAnsi" w:hAnsiTheme="minorHAnsi" w:cstheme="minorHAnsi"/>
          <w:lang w:val="da-DK"/>
        </w:rPr>
        <w:t xml:space="preserve">Sterling MR, Ringel JB, Pinheiro LC, et al. </w:t>
      </w:r>
      <w:r w:rsidRPr="001A01BF">
        <w:rPr>
          <w:rFonts w:asciiTheme="minorHAnsi" w:hAnsiTheme="minorHAnsi" w:cstheme="minorHAnsi"/>
        </w:rPr>
        <w:t>Social Determinants of Health and 90‐day mortality after hospitalization for heart failure in the regards study. Journal of the American Heart Association. 2020;9(9). doi:10.1161/jaha.119.014836</w:t>
      </w:r>
    </w:p>
    <w:p w14:paraId="02355814" w14:textId="01CA1284" w:rsidR="00F63B73" w:rsidRPr="001A01BF" w:rsidRDefault="00683BE5" w:rsidP="00683BE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A01BF">
        <w:rPr>
          <w:rFonts w:asciiTheme="minorHAnsi" w:hAnsiTheme="minorHAnsi" w:cstheme="minorHAnsi"/>
        </w:rPr>
        <w:t>Lax Y, Bathory E, Braganza S. Pediatric primary care and subspecialist providers’ comfort, attitudes and practices screening and referring for Social Determinants of Health. BMC Health Services Research. 2021;21(1). doi:10.1186/s12913-021-06975-3</w:t>
      </w:r>
    </w:p>
    <w:p w14:paraId="07CF9A00" w14:textId="1E162100" w:rsidR="00330E9F" w:rsidRPr="00472432" w:rsidRDefault="00F63B73" w:rsidP="00683BE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1A01BF">
        <w:rPr>
          <w:rFonts w:asciiTheme="minorHAnsi" w:hAnsiTheme="minorHAnsi" w:cstheme="minorHAnsi"/>
        </w:rPr>
        <w:t>Gerteis</w:t>
      </w:r>
      <w:proofErr w:type="spellEnd"/>
      <w:r w:rsidRPr="001A01BF">
        <w:rPr>
          <w:rFonts w:asciiTheme="minorHAnsi" w:hAnsiTheme="minorHAnsi" w:cstheme="minorHAnsi"/>
        </w:rPr>
        <w:t xml:space="preserve"> Senior Associate J. Primary care: On the front lines of social determinants of health. Abt Associates. https://www.abtassociates.com/insights/perspectives-</w:t>
      </w:r>
      <w:r w:rsidRPr="00472432">
        <w:rPr>
          <w:rFonts w:asciiTheme="minorHAnsi" w:hAnsiTheme="minorHAnsi" w:cstheme="minorHAnsi"/>
        </w:rPr>
        <w:t xml:space="preserve">blog/primary-care-on-the-front-lines-of-social-determinants-of-health. Published July 16, 2021. Accessed November 30, 2021. </w:t>
      </w:r>
    </w:p>
    <w:p w14:paraId="28A776D9" w14:textId="2405773A" w:rsidR="00683BE5" w:rsidRPr="00717325" w:rsidRDefault="00683BE5" w:rsidP="00683BE5">
      <w:pPr>
        <w:pStyle w:val="NormalWeb"/>
        <w:numPr>
          <w:ilvl w:val="0"/>
          <w:numId w:val="1"/>
        </w:numPr>
        <w:rPr>
          <w:rFonts w:cstheme="minorHAnsi"/>
        </w:rPr>
      </w:pPr>
      <w:r w:rsidRPr="00472432">
        <w:rPr>
          <w:rFonts w:asciiTheme="minorHAnsi" w:hAnsiTheme="minorHAnsi" w:cstheme="minorHAnsi"/>
        </w:rPr>
        <w:t xml:space="preserve">American Academy of Family Physicians (AAFP). 2021. AAFP Center for Diversity and Health Equity. </w:t>
      </w:r>
      <w:proofErr w:type="spellStart"/>
      <w:r w:rsidRPr="00472432">
        <w:rPr>
          <w:rFonts w:asciiTheme="minorHAnsi" w:hAnsiTheme="minorHAnsi" w:cstheme="minorHAnsi"/>
        </w:rPr>
        <w:t>EveryONE</w:t>
      </w:r>
      <w:proofErr w:type="spellEnd"/>
      <w:r w:rsidRPr="00472432">
        <w:rPr>
          <w:rFonts w:asciiTheme="minorHAnsi" w:hAnsiTheme="minorHAnsi" w:cstheme="minorHAnsi"/>
        </w:rPr>
        <w:t xml:space="preserve"> Project Neighborhood Navigator. </w:t>
      </w:r>
      <w:hyperlink r:id="rId13" w:history="1">
        <w:r w:rsidR="00472432" w:rsidRPr="00D87C01">
          <w:rPr>
            <w:rStyle w:val="Hyperlink"/>
            <w:rFonts w:cstheme="minorHAnsi"/>
            <w:color w:val="auto"/>
          </w:rPr>
          <w:t>https://www.aafp.org/family-physician/patient-care/the-everyone-project/neighborhood-navigator.html. Accessed November 30</w:t>
        </w:r>
      </w:hyperlink>
      <w:r w:rsidR="00472432" w:rsidRPr="00D87C01">
        <w:rPr>
          <w:rFonts w:cstheme="minorHAnsi"/>
        </w:rPr>
        <w:t>, 2021.</w:t>
      </w:r>
    </w:p>
    <w:p w14:paraId="51FCB39F" w14:textId="77777777" w:rsidR="00683BE5" w:rsidRPr="001A01BF" w:rsidRDefault="00683BE5" w:rsidP="00683BE5">
      <w:pPr>
        <w:pStyle w:val="NormalWeb"/>
        <w:ind w:left="720"/>
        <w:rPr>
          <w:rFonts w:asciiTheme="minorHAnsi" w:hAnsiTheme="minorHAnsi" w:cstheme="minorHAnsi"/>
        </w:rPr>
      </w:pPr>
    </w:p>
    <w:p w14:paraId="09558068" w14:textId="1DD7E6BD" w:rsidR="00C61EF1" w:rsidRPr="00BC1F3B" w:rsidRDefault="00053195" w:rsidP="00C61EF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BC1F3B">
        <w:rPr>
          <w:rFonts w:cstheme="minorHAnsi"/>
          <w:b/>
          <w:bCs/>
          <w:color w:val="000000" w:themeColor="text1"/>
          <w:sz w:val="24"/>
          <w:szCs w:val="24"/>
        </w:rPr>
        <w:t>Appendix A</w:t>
      </w:r>
      <w:r w:rsidR="006F7313" w:rsidRPr="00BC1F3B">
        <w:rPr>
          <w:rFonts w:cstheme="minorHAnsi"/>
          <w:b/>
          <w:bCs/>
          <w:color w:val="000000" w:themeColor="text1"/>
          <w:sz w:val="24"/>
          <w:szCs w:val="24"/>
        </w:rPr>
        <w:t>: Survey used for Pre- and Post-assessment.</w:t>
      </w:r>
    </w:p>
    <w:p w14:paraId="302BC25D" w14:textId="77777777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Role (drop-down box: 3</w:t>
      </w:r>
      <w:r w:rsidRPr="00BC1F3B">
        <w:rPr>
          <w:color w:val="000000" w:themeColor="text1"/>
          <w:vertAlign w:val="superscript"/>
        </w:rPr>
        <w:t>rd</w:t>
      </w:r>
      <w:r w:rsidRPr="00BC1F3B">
        <w:rPr>
          <w:color w:val="000000" w:themeColor="text1"/>
        </w:rPr>
        <w:t xml:space="preserve"> year, 4</w:t>
      </w:r>
      <w:r w:rsidRPr="00BC1F3B">
        <w:rPr>
          <w:color w:val="000000" w:themeColor="text1"/>
          <w:vertAlign w:val="superscript"/>
        </w:rPr>
        <w:t>th</w:t>
      </w:r>
      <w:r w:rsidRPr="00BC1F3B">
        <w:rPr>
          <w:color w:val="000000" w:themeColor="text1"/>
        </w:rPr>
        <w:t xml:space="preserve"> year, PharmD student)</w:t>
      </w:r>
    </w:p>
    <w:p w14:paraId="19CC468D" w14:textId="77777777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Have you had exposure to this topic (social determinants of health) previously? (Y/N)</w:t>
      </w:r>
    </w:p>
    <w:p w14:paraId="463CE73C" w14:textId="7EBB9D93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Have you heard of the AAFP Neighborhood Navigator Tool previously? (Y/N)</w:t>
      </w:r>
    </w:p>
    <w:p w14:paraId="297FC5A2" w14:textId="77777777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Define Social Determinants of Health (SDoH)</w:t>
      </w:r>
    </w:p>
    <w:p w14:paraId="25CDB3B7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Non-medical factors that influence health outcomes </w:t>
      </w:r>
    </w:p>
    <w:p w14:paraId="5F74417B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Can be influenced by social </w:t>
      </w:r>
      <w:proofErr w:type="gramStart"/>
      <w:r w:rsidRPr="00BC1F3B">
        <w:rPr>
          <w:color w:val="000000" w:themeColor="text1"/>
        </w:rPr>
        <w:t>policies</w:t>
      </w:r>
      <w:proofErr w:type="gramEnd"/>
      <w:r w:rsidRPr="00BC1F3B">
        <w:rPr>
          <w:color w:val="000000" w:themeColor="text1"/>
        </w:rPr>
        <w:t xml:space="preserve"> </w:t>
      </w:r>
    </w:p>
    <w:p w14:paraId="0A00E8E6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Conditions under which people are born, grow, live, work, and </w:t>
      </w:r>
      <w:proofErr w:type="gramStart"/>
      <w:r w:rsidRPr="00BC1F3B">
        <w:rPr>
          <w:color w:val="000000" w:themeColor="text1"/>
        </w:rPr>
        <w:t>age</w:t>
      </w:r>
      <w:proofErr w:type="gramEnd"/>
      <w:r w:rsidRPr="00BC1F3B">
        <w:rPr>
          <w:color w:val="000000" w:themeColor="text1"/>
        </w:rPr>
        <w:t xml:space="preserve"> </w:t>
      </w:r>
    </w:p>
    <w:p w14:paraId="5FF37188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BC1F3B">
        <w:rPr>
          <w:b/>
          <w:bCs/>
          <w:color w:val="000000" w:themeColor="text1"/>
        </w:rPr>
        <w:t>All the above</w:t>
      </w:r>
    </w:p>
    <w:p w14:paraId="19574E2B" w14:textId="77777777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 xml:space="preserve">Which of the following is/are </w:t>
      </w:r>
      <w:r w:rsidRPr="00BC1F3B">
        <w:rPr>
          <w:b/>
          <w:bCs/>
          <w:color w:val="000000" w:themeColor="text1"/>
        </w:rPr>
        <w:t xml:space="preserve">NOT </w:t>
      </w:r>
      <w:r w:rsidRPr="00BC1F3B">
        <w:rPr>
          <w:color w:val="000000" w:themeColor="text1"/>
        </w:rPr>
        <w:t>a SDoH?</w:t>
      </w:r>
    </w:p>
    <w:p w14:paraId="455E8058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>Access to food, safe housing, transportation</w:t>
      </w:r>
    </w:p>
    <w:p w14:paraId="556E76B3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>Access to medical supplies, seasonally appropriate clothing, childcare</w:t>
      </w:r>
    </w:p>
    <w:p w14:paraId="09CC9CDA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lastRenderedPageBreak/>
        <w:t>Pet care, education, legal aid</w:t>
      </w:r>
    </w:p>
    <w:p w14:paraId="09AA1949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BC1F3B">
        <w:rPr>
          <w:b/>
          <w:bCs/>
          <w:color w:val="000000" w:themeColor="text1"/>
        </w:rPr>
        <w:t xml:space="preserve">Access to medical care/insurance, history of alcohol use, language discrepancy </w:t>
      </w:r>
    </w:p>
    <w:p w14:paraId="5D98C0F0" w14:textId="77777777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How common are SDoH/Health Disparities?</w:t>
      </w:r>
    </w:p>
    <w:p w14:paraId="482E929A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Account for 35% of health outcomes </w:t>
      </w:r>
    </w:p>
    <w:p w14:paraId="3DBAE880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>Account for 45% of health outcomes</w:t>
      </w:r>
    </w:p>
    <w:p w14:paraId="46764613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BC1F3B">
        <w:rPr>
          <w:b/>
          <w:bCs/>
          <w:color w:val="000000" w:themeColor="text1"/>
        </w:rPr>
        <w:t>Account for 55% of health outcomes</w:t>
      </w:r>
    </w:p>
    <w:p w14:paraId="426B1CFF" w14:textId="77777777" w:rsidR="00C61EF1" w:rsidRPr="00BC1F3B" w:rsidRDefault="00C61EF1" w:rsidP="00C61EF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C1F3B">
        <w:rPr>
          <w:color w:val="000000" w:themeColor="text1"/>
        </w:rPr>
        <w:t>Account for 65% of health outcomes</w:t>
      </w:r>
    </w:p>
    <w:p w14:paraId="2244312A" w14:textId="77777777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What is the AAFP’s three-step process for addressing SDoH in primary care?</w:t>
      </w:r>
    </w:p>
    <w:p w14:paraId="2D1ED986" w14:textId="77777777" w:rsidR="00C61EF1" w:rsidRPr="00BC1F3B" w:rsidRDefault="00C61EF1" w:rsidP="00C61EF1">
      <w:pPr>
        <w:pStyle w:val="ListParagraph"/>
        <w:numPr>
          <w:ilvl w:val="0"/>
          <w:numId w:val="12"/>
        </w:numPr>
        <w:rPr>
          <w:b/>
          <w:bCs/>
          <w:color w:val="000000" w:themeColor="text1"/>
        </w:rPr>
      </w:pPr>
      <w:r w:rsidRPr="00BC1F3B">
        <w:rPr>
          <w:b/>
          <w:bCs/>
          <w:color w:val="000000" w:themeColor="text1"/>
        </w:rPr>
        <w:t xml:space="preserve">Ask, Identify, and Act </w:t>
      </w:r>
    </w:p>
    <w:p w14:paraId="138BA52D" w14:textId="77777777" w:rsidR="00C61EF1" w:rsidRPr="00BC1F3B" w:rsidRDefault="00C61EF1" w:rsidP="00C61EF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C1F3B">
        <w:rPr>
          <w:color w:val="000000" w:themeColor="text1"/>
        </w:rPr>
        <w:t>Assume, Act, and Implement</w:t>
      </w:r>
    </w:p>
    <w:p w14:paraId="6F4C6B5D" w14:textId="77777777" w:rsidR="00C61EF1" w:rsidRPr="00BC1F3B" w:rsidRDefault="00C61EF1" w:rsidP="00C61EF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C1F3B">
        <w:rPr>
          <w:color w:val="000000" w:themeColor="text1"/>
        </w:rPr>
        <w:t>Identify, Research, Act</w:t>
      </w:r>
    </w:p>
    <w:p w14:paraId="445201FC" w14:textId="7EB7E42B" w:rsidR="00C61EF1" w:rsidRPr="00BC1F3B" w:rsidRDefault="00C61EF1" w:rsidP="00C61EF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C1F3B">
        <w:rPr>
          <w:color w:val="000000" w:themeColor="text1"/>
        </w:rPr>
        <w:t>Inquire, Search, Implement</w:t>
      </w:r>
    </w:p>
    <w:p w14:paraId="19230B2C" w14:textId="523A3389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What barriers do you foresee in using AAFP Neighborhood Navigator?</w:t>
      </w:r>
      <w:r w:rsidR="00BC1F3B" w:rsidRPr="00BC1F3B">
        <w:rPr>
          <w:color w:val="000000" w:themeColor="text1"/>
        </w:rPr>
        <w:t>*</w:t>
      </w:r>
    </w:p>
    <w:p w14:paraId="70705CAA" w14:textId="77777777" w:rsidR="00C61EF1" w:rsidRPr="00BC1F3B" w:rsidRDefault="00C61EF1" w:rsidP="00C61EF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1F3B">
        <w:rPr>
          <w:color w:val="000000" w:themeColor="text1"/>
        </w:rPr>
        <w:t>None</w:t>
      </w:r>
    </w:p>
    <w:p w14:paraId="219FE31D" w14:textId="77777777" w:rsidR="00C61EF1" w:rsidRPr="00BC1F3B" w:rsidRDefault="00C61EF1" w:rsidP="00C61EF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1F3B">
        <w:rPr>
          <w:color w:val="000000" w:themeColor="text1"/>
        </w:rPr>
        <w:t>Not enough time in patient visits</w:t>
      </w:r>
    </w:p>
    <w:p w14:paraId="0DD8A508" w14:textId="36768CDB" w:rsidR="00C61EF1" w:rsidRPr="00BC1F3B" w:rsidRDefault="00C61EF1" w:rsidP="00C61EF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Inadequate </w:t>
      </w:r>
      <w:r w:rsidR="00991CDA" w:rsidRPr="00BC1F3B">
        <w:rPr>
          <w:color w:val="000000" w:themeColor="text1"/>
        </w:rPr>
        <w:t>Wi-Fi</w:t>
      </w:r>
      <w:r w:rsidRPr="00BC1F3B">
        <w:rPr>
          <w:color w:val="000000" w:themeColor="text1"/>
        </w:rPr>
        <w:t xml:space="preserve">/cell phone service </w:t>
      </w:r>
    </w:p>
    <w:p w14:paraId="4B3FE10C" w14:textId="77777777" w:rsidR="00C61EF1" w:rsidRPr="00BC1F3B" w:rsidRDefault="00C61EF1" w:rsidP="00C61EF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Patient’s perception of technology use during patient visits </w:t>
      </w:r>
    </w:p>
    <w:p w14:paraId="6CA96B97" w14:textId="77777777" w:rsidR="00C61EF1" w:rsidRPr="00BC1F3B" w:rsidRDefault="00C61EF1" w:rsidP="00C61EF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Discomfort in addressing patient’s social determinants of </w:t>
      </w:r>
      <w:proofErr w:type="gramStart"/>
      <w:r w:rsidRPr="00BC1F3B">
        <w:rPr>
          <w:color w:val="000000" w:themeColor="text1"/>
        </w:rPr>
        <w:t>health</w:t>
      </w:r>
      <w:proofErr w:type="gramEnd"/>
      <w:r w:rsidRPr="00BC1F3B">
        <w:rPr>
          <w:color w:val="000000" w:themeColor="text1"/>
        </w:rPr>
        <w:t xml:space="preserve"> </w:t>
      </w:r>
    </w:p>
    <w:p w14:paraId="3A915EB7" w14:textId="77777777" w:rsidR="00C61EF1" w:rsidRPr="00BC1F3B" w:rsidRDefault="00C61EF1" w:rsidP="00C61EF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1F3B">
        <w:rPr>
          <w:color w:val="000000" w:themeColor="text1"/>
        </w:rPr>
        <w:t>_____________</w:t>
      </w:r>
    </w:p>
    <w:p w14:paraId="75EB6AD1" w14:textId="0A0A8FC5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How could the AAFP Neighborhood Navigator been used to help one of your hospital patients overcome one or more SDoH?</w:t>
      </w:r>
      <w:r w:rsidR="00BC1F3B" w:rsidRPr="00BC1F3B">
        <w:rPr>
          <w:color w:val="000000" w:themeColor="text1"/>
        </w:rPr>
        <w:t>*</w:t>
      </w:r>
    </w:p>
    <w:p w14:paraId="5958BC0B" w14:textId="306767EC" w:rsidR="00C61EF1" w:rsidRPr="00BC1F3B" w:rsidRDefault="00C61EF1" w:rsidP="00C61EF1">
      <w:pPr>
        <w:rPr>
          <w:color w:val="000000" w:themeColor="text1"/>
        </w:rPr>
      </w:pPr>
      <w:r w:rsidRPr="00BC1F3B">
        <w:rPr>
          <w:color w:val="000000" w:themeColor="text1"/>
        </w:rPr>
        <w:t>What surprises you about the AAFP Neighborhood Navigator?</w:t>
      </w:r>
      <w:r w:rsidR="00BC1F3B" w:rsidRPr="00BC1F3B">
        <w:rPr>
          <w:color w:val="000000" w:themeColor="text1"/>
        </w:rPr>
        <w:t>*</w:t>
      </w:r>
    </w:p>
    <w:p w14:paraId="3C32DB45" w14:textId="77777777" w:rsidR="00C61EF1" w:rsidRPr="00BC1F3B" w:rsidRDefault="00C61EF1" w:rsidP="00C61EF1">
      <w:pPr>
        <w:rPr>
          <w:color w:val="000000" w:themeColor="text1"/>
          <w:u w:val="single"/>
        </w:rPr>
      </w:pPr>
      <w:r w:rsidRPr="00BC1F3B">
        <w:rPr>
          <w:color w:val="000000" w:themeColor="text1"/>
          <w:u w:val="single"/>
        </w:rPr>
        <w:t>Strongly Disagree, Disagree, Neutral, Agree, Strongly Agree</w:t>
      </w:r>
    </w:p>
    <w:p w14:paraId="0612C7C7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I have a comprehensive understanding of 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1986CB60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SDoH present a barrier to care in some of my </w:t>
      </w:r>
      <w:proofErr w:type="gramStart"/>
      <w:r w:rsidRPr="00BC1F3B">
        <w:rPr>
          <w:color w:val="000000" w:themeColor="text1"/>
        </w:rPr>
        <w:t>patients</w:t>
      </w:r>
      <w:proofErr w:type="gramEnd"/>
      <w:r w:rsidRPr="00BC1F3B">
        <w:rPr>
          <w:color w:val="000000" w:themeColor="text1"/>
        </w:rPr>
        <w:t xml:space="preserve"> </w:t>
      </w:r>
    </w:p>
    <w:p w14:paraId="6334F08C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Many of my patients live in areas that lack resources addressing 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00FD206D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I feel confidence in my ability to refer patients to community resources addressing 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09D1A8DA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Social needs are related to poor health </w:t>
      </w:r>
      <w:proofErr w:type="gramStart"/>
      <w:r w:rsidRPr="00BC1F3B">
        <w:rPr>
          <w:color w:val="000000" w:themeColor="text1"/>
        </w:rPr>
        <w:t>outcomes</w:t>
      </w:r>
      <w:proofErr w:type="gramEnd"/>
    </w:p>
    <w:p w14:paraId="4B476FF7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Many of my patients have more than one SDoH that needs </w:t>
      </w:r>
      <w:proofErr w:type="gramStart"/>
      <w:r w:rsidRPr="00BC1F3B">
        <w:rPr>
          <w:color w:val="000000" w:themeColor="text1"/>
        </w:rPr>
        <w:t>addressed</w:t>
      </w:r>
      <w:proofErr w:type="gramEnd"/>
    </w:p>
    <w:p w14:paraId="0E9F21A0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There is a connection between a patient’s home address and access to </w:t>
      </w:r>
      <w:proofErr w:type="gramStart"/>
      <w:r w:rsidRPr="00BC1F3B">
        <w:rPr>
          <w:color w:val="000000" w:themeColor="text1"/>
        </w:rPr>
        <w:t>resources</w:t>
      </w:r>
      <w:proofErr w:type="gramEnd"/>
      <w:r w:rsidRPr="00BC1F3B">
        <w:rPr>
          <w:color w:val="000000" w:themeColor="text1"/>
        </w:rPr>
        <w:t xml:space="preserve"> </w:t>
      </w:r>
    </w:p>
    <w:p w14:paraId="09D9AC7A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I believe it is a physician’s responsibility to address SDoH in patient </w:t>
      </w:r>
      <w:proofErr w:type="gramStart"/>
      <w:r w:rsidRPr="00BC1F3B">
        <w:rPr>
          <w:color w:val="000000" w:themeColor="text1"/>
        </w:rPr>
        <w:t>visits</w:t>
      </w:r>
      <w:proofErr w:type="gramEnd"/>
      <w:r w:rsidRPr="00BC1F3B">
        <w:rPr>
          <w:color w:val="000000" w:themeColor="text1"/>
        </w:rPr>
        <w:t xml:space="preserve"> </w:t>
      </w:r>
    </w:p>
    <w:p w14:paraId="7EBA8461" w14:textId="6CB08015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I am likely to incorporate the AAFP Neighborhood Navigator tool into patient visits* </w:t>
      </w:r>
    </w:p>
    <w:p w14:paraId="5475890E" w14:textId="7F11E5F9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>The AAFP Neighborhood Navigator would be impactful in discharge planning with patients*</w:t>
      </w:r>
    </w:p>
    <w:p w14:paraId="3C17B5D4" w14:textId="6FB9303E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The AAFP Neighborhood Navigator would be helpful both in inpatient and outpatient setting* </w:t>
      </w:r>
    </w:p>
    <w:p w14:paraId="74A75463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Patients are often reluctant to reveal SDoH that impact </w:t>
      </w:r>
      <w:proofErr w:type="gramStart"/>
      <w:r w:rsidRPr="00BC1F3B">
        <w:rPr>
          <w:color w:val="000000" w:themeColor="text1"/>
        </w:rPr>
        <w:t>them</w:t>
      </w:r>
      <w:proofErr w:type="gramEnd"/>
    </w:p>
    <w:p w14:paraId="525D5A04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“Non-compliance” may be masked as barriers to fulfilling 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625335A0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I feel that my medical school training adequately prepared me to assist patients in address 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2D3D23BA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>I would like to receive more training on health disparities/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1D905FED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t xml:space="preserve">Addressing SDoH is better suited to be addressed on an outpatient </w:t>
      </w:r>
      <w:proofErr w:type="gramStart"/>
      <w:r w:rsidRPr="00BC1F3B">
        <w:rPr>
          <w:color w:val="000000" w:themeColor="text1"/>
        </w:rPr>
        <w:t>basis</w:t>
      </w:r>
      <w:proofErr w:type="gramEnd"/>
      <w:r w:rsidRPr="00BC1F3B">
        <w:rPr>
          <w:color w:val="000000" w:themeColor="text1"/>
        </w:rPr>
        <w:t xml:space="preserve"> </w:t>
      </w:r>
    </w:p>
    <w:p w14:paraId="46BCDA45" w14:textId="77777777" w:rsidR="00C61EF1" w:rsidRPr="00BC1F3B" w:rsidRDefault="00C61EF1" w:rsidP="00C61EF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C1F3B">
        <w:rPr>
          <w:color w:val="000000" w:themeColor="text1"/>
        </w:rPr>
        <w:lastRenderedPageBreak/>
        <w:t xml:space="preserve">There is not enough time in my patient visit to address </w:t>
      </w:r>
      <w:proofErr w:type="gramStart"/>
      <w:r w:rsidRPr="00BC1F3B">
        <w:rPr>
          <w:color w:val="000000" w:themeColor="text1"/>
        </w:rPr>
        <w:t>SDoH</w:t>
      </w:r>
      <w:proofErr w:type="gramEnd"/>
    </w:p>
    <w:p w14:paraId="76CEE5EF" w14:textId="72CC24EB" w:rsidR="00602A08" w:rsidRPr="00BC1F3B" w:rsidRDefault="00C61EF1" w:rsidP="005223DC">
      <w:pPr>
        <w:rPr>
          <w:color w:val="000000" w:themeColor="text1"/>
          <w:sz w:val="24"/>
          <w:szCs w:val="24"/>
        </w:rPr>
      </w:pPr>
      <w:r w:rsidRPr="00BC1F3B">
        <w:rPr>
          <w:color w:val="000000" w:themeColor="text1"/>
          <w:sz w:val="24"/>
          <w:szCs w:val="24"/>
        </w:rPr>
        <w:t>*post-assessment only</w:t>
      </w:r>
    </w:p>
    <w:sectPr w:rsidR="00602A08" w:rsidRPr="00BC1F3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lderwood, Lisa C." w:date="2024-01-31T09:47:00Z" w:initials="CLC">
    <w:p w14:paraId="4F349A70" w14:textId="257EC56A" w:rsidR="007176B4" w:rsidRDefault="007176B4" w:rsidP="00056210">
      <w:pPr>
        <w:pStyle w:val="CommentText"/>
      </w:pPr>
      <w:r>
        <w:rPr>
          <w:rStyle w:val="CommentReference"/>
        </w:rPr>
        <w:annotationRef/>
      </w:r>
      <w:r>
        <w:t xml:space="preserve">As a resident, Dr. Bowman is also a CAMC employee so I would also encourage you to have multiple affilications listed ☺️ </w:t>
      </w:r>
    </w:p>
  </w:comment>
  <w:comment w:id="1" w:author="Shannon Wyszomierski" w:date="2024-02-29T11:22:00Z" w:initials="SW">
    <w:p w14:paraId="62C65C4A" w14:textId="77777777" w:rsidR="00C16E18" w:rsidRDefault="00C22981" w:rsidP="00C16E18">
      <w:pPr>
        <w:pStyle w:val="CommentText"/>
      </w:pPr>
      <w:r>
        <w:rPr>
          <w:rStyle w:val="CommentReference"/>
        </w:rPr>
        <w:annotationRef/>
      </w:r>
      <w:r w:rsidR="00C16E18">
        <w:t>Added CAMC indicator for Dr. Bowman</w:t>
      </w:r>
    </w:p>
  </w:comment>
  <w:comment w:id="2" w:author="Shannon Wyszomierski" w:date="2024-02-29T13:30:00Z" w:initials="SW">
    <w:p w14:paraId="728FCCEE" w14:textId="77777777" w:rsidR="00954A77" w:rsidRDefault="00954A77" w:rsidP="00954A77">
      <w:pPr>
        <w:pStyle w:val="CommentText"/>
      </w:pPr>
      <w:r>
        <w:rPr>
          <w:rStyle w:val="CommentReference"/>
        </w:rPr>
        <w:annotationRef/>
      </w:r>
      <w:r>
        <w:t>Replace with 3110 MacCorkle Ave SE, Charleston, WV 25304 ? Or complete address.</w:t>
      </w:r>
    </w:p>
  </w:comment>
  <w:comment w:id="3" w:author="Shannon Wyszomierski" w:date="2023-12-12T15:25:00Z" w:initials="SW">
    <w:p w14:paraId="27C12FAE" w14:textId="0101E791" w:rsidR="004D58A5" w:rsidRDefault="00926862" w:rsidP="004D58A5">
      <w:pPr>
        <w:pStyle w:val="CommentText"/>
      </w:pPr>
      <w:r>
        <w:rPr>
          <w:rStyle w:val="CommentReference"/>
        </w:rPr>
        <w:annotationRef/>
      </w:r>
      <w:r w:rsidR="004D58A5">
        <w:t xml:space="preserve">(max 1000 words, initially 1174), </w:t>
      </w:r>
      <w:r w:rsidR="004D58A5">
        <w:rPr>
          <w:color w:val="FF0000"/>
        </w:rPr>
        <w:t>Currently 999</w:t>
      </w:r>
    </w:p>
    <w:p w14:paraId="591EAA84" w14:textId="77777777" w:rsidR="004D58A5" w:rsidRDefault="004D58A5" w:rsidP="004D58A5">
      <w:pPr>
        <w:pStyle w:val="CommentText"/>
      </w:pPr>
      <w:r>
        <w:t xml:space="preserve">main text (ie, excluding abstract, references, tables, figures, and legends) </w:t>
      </w:r>
    </w:p>
  </w:comment>
  <w:comment w:id="4" w:author="Calderwood, Lisa C." w:date="2024-03-07T08:00:00Z" w:initials="LC">
    <w:p w14:paraId="1C16B27A" w14:textId="77777777" w:rsidR="00D9735C" w:rsidRDefault="00D9735C" w:rsidP="0040546C">
      <w:pPr>
        <w:pStyle w:val="CommentText"/>
      </w:pPr>
      <w:r>
        <w:rPr>
          <w:rStyle w:val="CommentReference"/>
        </w:rPr>
        <w:annotationRef/>
      </w:r>
      <w:r>
        <w:t xml:space="preserve">CURRENTLY 1001, I marked a word suggested to delete. </w:t>
      </w:r>
    </w:p>
  </w:comment>
  <w:comment w:id="5" w:author="Calderwood, Lisa C." w:date="2024-03-07T08:00:00Z" w:initials="LC">
    <w:p w14:paraId="5747778A" w14:textId="4456EC08" w:rsidR="00D9735C" w:rsidRDefault="00D9735C" w:rsidP="006C40DB">
      <w:pPr>
        <w:pStyle w:val="CommentText"/>
      </w:pPr>
      <w:r>
        <w:rPr>
          <w:rStyle w:val="CommentReference"/>
        </w:rPr>
        <w:annotationRef/>
      </w:r>
      <w:r>
        <w:t xml:space="preserve">SUGGEST REMOVING FOR WORD COUNT?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49A70" w15:done="0"/>
  <w15:commentEx w15:paraId="62C65C4A" w15:paraIdParent="4F349A70" w15:done="0"/>
  <w15:commentEx w15:paraId="728FCCEE" w15:done="0"/>
  <w15:commentEx w15:paraId="591EAA84" w15:done="0"/>
  <w15:commentEx w15:paraId="1C16B27A" w15:paraIdParent="591EAA84" w15:done="0"/>
  <w15:commentEx w15:paraId="574777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A6940F" w16cex:dateUtc="2024-01-31T14:47:00Z"/>
  <w16cex:commentExtensible w16cex:durableId="02297F09" w16cex:dateUtc="2024-02-29T16:22:00Z"/>
  <w16cex:commentExtensible w16cex:durableId="49876A57" w16cex:dateUtc="2024-02-29T18:30:00Z"/>
  <w16cex:commentExtensible w16cex:durableId="480F77A1" w16cex:dateUtc="2023-12-12T20:25:00Z"/>
  <w16cex:commentExtensible w16cex:durableId="032610BF" w16cex:dateUtc="2024-03-07T13:00:00Z"/>
  <w16cex:commentExtensible w16cex:durableId="457F2564" w16cex:dateUtc="2024-03-07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49A70" w16cid:durableId="76A6940F"/>
  <w16cid:commentId w16cid:paraId="62C65C4A" w16cid:durableId="02297F09"/>
  <w16cid:commentId w16cid:paraId="728FCCEE" w16cid:durableId="49876A57"/>
  <w16cid:commentId w16cid:paraId="591EAA84" w16cid:durableId="480F77A1"/>
  <w16cid:commentId w16cid:paraId="1C16B27A" w16cid:durableId="032610BF"/>
  <w16cid:commentId w16cid:paraId="5747778A" w16cid:durableId="457F25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39D0" w14:textId="77777777" w:rsidR="00C04055" w:rsidRDefault="00C04055" w:rsidP="00C04055">
      <w:pPr>
        <w:spacing w:after="0" w:line="240" w:lineRule="auto"/>
      </w:pPr>
      <w:r>
        <w:separator/>
      </w:r>
    </w:p>
  </w:endnote>
  <w:endnote w:type="continuationSeparator" w:id="0">
    <w:p w14:paraId="797BD610" w14:textId="77777777" w:rsidR="00C04055" w:rsidRDefault="00C04055" w:rsidP="00C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12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BD080" w14:textId="3D4E28E4" w:rsidR="00C04055" w:rsidRDefault="00C04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26EFC" w14:textId="77777777" w:rsidR="00C04055" w:rsidRDefault="00C0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A1BC" w14:textId="77777777" w:rsidR="00C04055" w:rsidRDefault="00C04055" w:rsidP="00C04055">
      <w:pPr>
        <w:spacing w:after="0" w:line="240" w:lineRule="auto"/>
      </w:pPr>
      <w:r>
        <w:separator/>
      </w:r>
    </w:p>
  </w:footnote>
  <w:footnote w:type="continuationSeparator" w:id="0">
    <w:p w14:paraId="5B23DF3A" w14:textId="77777777" w:rsidR="00C04055" w:rsidRDefault="00C04055" w:rsidP="00C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F9"/>
    <w:multiLevelType w:val="hybridMultilevel"/>
    <w:tmpl w:val="25D856B4"/>
    <w:lvl w:ilvl="0" w:tplc="3B9A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5E56"/>
    <w:multiLevelType w:val="hybridMultilevel"/>
    <w:tmpl w:val="BD948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D44"/>
    <w:multiLevelType w:val="hybridMultilevel"/>
    <w:tmpl w:val="472E2B58"/>
    <w:lvl w:ilvl="0" w:tplc="4B64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C8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C1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69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0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2C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C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4A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750B"/>
    <w:multiLevelType w:val="hybridMultilevel"/>
    <w:tmpl w:val="C01A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6B0"/>
    <w:multiLevelType w:val="hybridMultilevel"/>
    <w:tmpl w:val="FE9EBDFC"/>
    <w:lvl w:ilvl="0" w:tplc="E67824FE">
      <w:start w:val="1"/>
      <w:numFmt w:val="decimal"/>
      <w:lvlText w:val="%1)"/>
      <w:lvlJc w:val="left"/>
      <w:pPr>
        <w:ind w:left="1020" w:hanging="360"/>
      </w:pPr>
    </w:lvl>
    <w:lvl w:ilvl="1" w:tplc="A4B08EA4">
      <w:start w:val="1"/>
      <w:numFmt w:val="decimal"/>
      <w:lvlText w:val="%2)"/>
      <w:lvlJc w:val="left"/>
      <w:pPr>
        <w:ind w:left="1020" w:hanging="360"/>
      </w:pPr>
    </w:lvl>
    <w:lvl w:ilvl="2" w:tplc="BA607BFA">
      <w:start w:val="1"/>
      <w:numFmt w:val="decimal"/>
      <w:lvlText w:val="%3)"/>
      <w:lvlJc w:val="left"/>
      <w:pPr>
        <w:ind w:left="1020" w:hanging="360"/>
      </w:pPr>
    </w:lvl>
    <w:lvl w:ilvl="3" w:tplc="A5A63DDC">
      <w:start w:val="1"/>
      <w:numFmt w:val="decimal"/>
      <w:lvlText w:val="%4)"/>
      <w:lvlJc w:val="left"/>
      <w:pPr>
        <w:ind w:left="1020" w:hanging="360"/>
      </w:pPr>
    </w:lvl>
    <w:lvl w:ilvl="4" w:tplc="B0C86DE0">
      <w:start w:val="1"/>
      <w:numFmt w:val="decimal"/>
      <w:lvlText w:val="%5)"/>
      <w:lvlJc w:val="left"/>
      <w:pPr>
        <w:ind w:left="1020" w:hanging="360"/>
      </w:pPr>
    </w:lvl>
    <w:lvl w:ilvl="5" w:tplc="9042A440">
      <w:start w:val="1"/>
      <w:numFmt w:val="decimal"/>
      <w:lvlText w:val="%6)"/>
      <w:lvlJc w:val="left"/>
      <w:pPr>
        <w:ind w:left="1020" w:hanging="360"/>
      </w:pPr>
    </w:lvl>
    <w:lvl w:ilvl="6" w:tplc="DD6289BA">
      <w:start w:val="1"/>
      <w:numFmt w:val="decimal"/>
      <w:lvlText w:val="%7)"/>
      <w:lvlJc w:val="left"/>
      <w:pPr>
        <w:ind w:left="1020" w:hanging="360"/>
      </w:pPr>
    </w:lvl>
    <w:lvl w:ilvl="7" w:tplc="20C202A6">
      <w:start w:val="1"/>
      <w:numFmt w:val="decimal"/>
      <w:lvlText w:val="%8)"/>
      <w:lvlJc w:val="left"/>
      <w:pPr>
        <w:ind w:left="1020" w:hanging="360"/>
      </w:pPr>
    </w:lvl>
    <w:lvl w:ilvl="8" w:tplc="D9CABA60">
      <w:start w:val="1"/>
      <w:numFmt w:val="decimal"/>
      <w:lvlText w:val="%9)"/>
      <w:lvlJc w:val="left"/>
      <w:pPr>
        <w:ind w:left="1020" w:hanging="360"/>
      </w:pPr>
    </w:lvl>
  </w:abstractNum>
  <w:abstractNum w:abstractNumId="5" w15:restartNumberingAfterBreak="0">
    <w:nsid w:val="2BE702DC"/>
    <w:multiLevelType w:val="hybridMultilevel"/>
    <w:tmpl w:val="66D0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1B5"/>
    <w:multiLevelType w:val="multilevel"/>
    <w:tmpl w:val="2FB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31D97"/>
    <w:multiLevelType w:val="hybridMultilevel"/>
    <w:tmpl w:val="D81E9E62"/>
    <w:lvl w:ilvl="0" w:tplc="B7F4AFB0">
      <w:start w:val="1"/>
      <w:numFmt w:val="decimal"/>
      <w:lvlText w:val="%1)"/>
      <w:lvlJc w:val="left"/>
      <w:pPr>
        <w:ind w:left="1020" w:hanging="360"/>
      </w:pPr>
    </w:lvl>
    <w:lvl w:ilvl="1" w:tplc="88D0FB9E">
      <w:start w:val="1"/>
      <w:numFmt w:val="decimal"/>
      <w:lvlText w:val="%2)"/>
      <w:lvlJc w:val="left"/>
      <w:pPr>
        <w:ind w:left="1020" w:hanging="360"/>
      </w:pPr>
    </w:lvl>
    <w:lvl w:ilvl="2" w:tplc="99B4325E">
      <w:start w:val="1"/>
      <w:numFmt w:val="decimal"/>
      <w:lvlText w:val="%3)"/>
      <w:lvlJc w:val="left"/>
      <w:pPr>
        <w:ind w:left="1020" w:hanging="360"/>
      </w:pPr>
    </w:lvl>
    <w:lvl w:ilvl="3" w:tplc="C81086FC">
      <w:start w:val="1"/>
      <w:numFmt w:val="decimal"/>
      <w:lvlText w:val="%4)"/>
      <w:lvlJc w:val="left"/>
      <w:pPr>
        <w:ind w:left="1020" w:hanging="360"/>
      </w:pPr>
    </w:lvl>
    <w:lvl w:ilvl="4" w:tplc="D624B12E">
      <w:start w:val="1"/>
      <w:numFmt w:val="decimal"/>
      <w:lvlText w:val="%5)"/>
      <w:lvlJc w:val="left"/>
      <w:pPr>
        <w:ind w:left="1020" w:hanging="360"/>
      </w:pPr>
    </w:lvl>
    <w:lvl w:ilvl="5" w:tplc="BCF8FF84">
      <w:start w:val="1"/>
      <w:numFmt w:val="decimal"/>
      <w:lvlText w:val="%6)"/>
      <w:lvlJc w:val="left"/>
      <w:pPr>
        <w:ind w:left="1020" w:hanging="360"/>
      </w:pPr>
    </w:lvl>
    <w:lvl w:ilvl="6" w:tplc="3202E55C">
      <w:start w:val="1"/>
      <w:numFmt w:val="decimal"/>
      <w:lvlText w:val="%7)"/>
      <w:lvlJc w:val="left"/>
      <w:pPr>
        <w:ind w:left="1020" w:hanging="360"/>
      </w:pPr>
    </w:lvl>
    <w:lvl w:ilvl="7" w:tplc="A19ED4D8">
      <w:start w:val="1"/>
      <w:numFmt w:val="decimal"/>
      <w:lvlText w:val="%8)"/>
      <w:lvlJc w:val="left"/>
      <w:pPr>
        <w:ind w:left="1020" w:hanging="360"/>
      </w:pPr>
    </w:lvl>
    <w:lvl w:ilvl="8" w:tplc="DABA9C3C">
      <w:start w:val="1"/>
      <w:numFmt w:val="decimal"/>
      <w:lvlText w:val="%9)"/>
      <w:lvlJc w:val="left"/>
      <w:pPr>
        <w:ind w:left="1020" w:hanging="360"/>
      </w:pPr>
    </w:lvl>
  </w:abstractNum>
  <w:abstractNum w:abstractNumId="8" w15:restartNumberingAfterBreak="0">
    <w:nsid w:val="574539DC"/>
    <w:multiLevelType w:val="hybridMultilevel"/>
    <w:tmpl w:val="E6668940"/>
    <w:lvl w:ilvl="0" w:tplc="E55C9330">
      <w:start w:val="1"/>
      <w:numFmt w:val="decimal"/>
      <w:lvlText w:val="%1)"/>
      <w:lvlJc w:val="left"/>
      <w:pPr>
        <w:ind w:left="1020" w:hanging="360"/>
      </w:pPr>
    </w:lvl>
    <w:lvl w:ilvl="1" w:tplc="3D3EEEDE">
      <w:start w:val="1"/>
      <w:numFmt w:val="decimal"/>
      <w:lvlText w:val="%2)"/>
      <w:lvlJc w:val="left"/>
      <w:pPr>
        <w:ind w:left="1020" w:hanging="360"/>
      </w:pPr>
    </w:lvl>
    <w:lvl w:ilvl="2" w:tplc="4CEC896E">
      <w:start w:val="1"/>
      <w:numFmt w:val="decimal"/>
      <w:lvlText w:val="%3)"/>
      <w:lvlJc w:val="left"/>
      <w:pPr>
        <w:ind w:left="1020" w:hanging="360"/>
      </w:pPr>
    </w:lvl>
    <w:lvl w:ilvl="3" w:tplc="A1A22EF4">
      <w:start w:val="1"/>
      <w:numFmt w:val="decimal"/>
      <w:lvlText w:val="%4)"/>
      <w:lvlJc w:val="left"/>
      <w:pPr>
        <w:ind w:left="1020" w:hanging="360"/>
      </w:pPr>
    </w:lvl>
    <w:lvl w:ilvl="4" w:tplc="BDB8E4EE">
      <w:start w:val="1"/>
      <w:numFmt w:val="decimal"/>
      <w:lvlText w:val="%5)"/>
      <w:lvlJc w:val="left"/>
      <w:pPr>
        <w:ind w:left="1020" w:hanging="360"/>
      </w:pPr>
    </w:lvl>
    <w:lvl w:ilvl="5" w:tplc="04F815C8">
      <w:start w:val="1"/>
      <w:numFmt w:val="decimal"/>
      <w:lvlText w:val="%6)"/>
      <w:lvlJc w:val="left"/>
      <w:pPr>
        <w:ind w:left="1020" w:hanging="360"/>
      </w:pPr>
    </w:lvl>
    <w:lvl w:ilvl="6" w:tplc="21BCAF06">
      <w:start w:val="1"/>
      <w:numFmt w:val="decimal"/>
      <w:lvlText w:val="%7)"/>
      <w:lvlJc w:val="left"/>
      <w:pPr>
        <w:ind w:left="1020" w:hanging="360"/>
      </w:pPr>
    </w:lvl>
    <w:lvl w:ilvl="7" w:tplc="2F367FE4">
      <w:start w:val="1"/>
      <w:numFmt w:val="decimal"/>
      <w:lvlText w:val="%8)"/>
      <w:lvlJc w:val="left"/>
      <w:pPr>
        <w:ind w:left="1020" w:hanging="360"/>
      </w:pPr>
    </w:lvl>
    <w:lvl w:ilvl="8" w:tplc="DE1C9396">
      <w:start w:val="1"/>
      <w:numFmt w:val="decimal"/>
      <w:lvlText w:val="%9)"/>
      <w:lvlJc w:val="left"/>
      <w:pPr>
        <w:ind w:left="1020" w:hanging="360"/>
      </w:pPr>
    </w:lvl>
  </w:abstractNum>
  <w:abstractNum w:abstractNumId="9" w15:restartNumberingAfterBreak="0">
    <w:nsid w:val="5ACA2F9F"/>
    <w:multiLevelType w:val="hybridMultilevel"/>
    <w:tmpl w:val="50FAE08C"/>
    <w:lvl w:ilvl="0" w:tplc="911EA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176"/>
    <w:multiLevelType w:val="hybridMultilevel"/>
    <w:tmpl w:val="32A40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B6D64"/>
    <w:multiLevelType w:val="hybridMultilevel"/>
    <w:tmpl w:val="311E9C2E"/>
    <w:lvl w:ilvl="0" w:tplc="61B4A6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53830">
    <w:abstractNumId w:val="3"/>
  </w:num>
  <w:num w:numId="2" w16cid:durableId="61566273">
    <w:abstractNumId w:val="0"/>
  </w:num>
  <w:num w:numId="3" w16cid:durableId="1063337766">
    <w:abstractNumId w:val="2"/>
  </w:num>
  <w:num w:numId="4" w16cid:durableId="1384719090">
    <w:abstractNumId w:val="6"/>
  </w:num>
  <w:num w:numId="5" w16cid:durableId="795374818">
    <w:abstractNumId w:val="1"/>
  </w:num>
  <w:num w:numId="6" w16cid:durableId="1130979856">
    <w:abstractNumId w:val="8"/>
  </w:num>
  <w:num w:numId="7" w16cid:durableId="443233230">
    <w:abstractNumId w:val="7"/>
  </w:num>
  <w:num w:numId="8" w16cid:durableId="1042902707">
    <w:abstractNumId w:val="4"/>
  </w:num>
  <w:num w:numId="9" w16cid:durableId="933899735">
    <w:abstractNumId w:val="9"/>
  </w:num>
  <w:num w:numId="10" w16cid:durableId="379522444">
    <w:abstractNumId w:val="10"/>
  </w:num>
  <w:num w:numId="11" w16cid:durableId="1308822325">
    <w:abstractNumId w:val="5"/>
  </w:num>
  <w:num w:numId="12" w16cid:durableId="42993264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derwood, Lisa C.">
    <w15:presenceInfo w15:providerId="AD" w15:userId="S::lisa.calderwood@camc.org::f00ff863-335d-4821-a988-e94b601bda37"/>
  </w15:person>
  <w15:person w15:author="Shannon Wyszomierski">
    <w15:presenceInfo w15:providerId="Windows Live" w15:userId="96bf6b5643f2d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A9"/>
    <w:rsid w:val="00011287"/>
    <w:rsid w:val="00013179"/>
    <w:rsid w:val="00013411"/>
    <w:rsid w:val="000136F7"/>
    <w:rsid w:val="000200D1"/>
    <w:rsid w:val="00025E0B"/>
    <w:rsid w:val="000354C6"/>
    <w:rsid w:val="00046C23"/>
    <w:rsid w:val="00053195"/>
    <w:rsid w:val="000624A3"/>
    <w:rsid w:val="00062F56"/>
    <w:rsid w:val="000657B7"/>
    <w:rsid w:val="00067B6C"/>
    <w:rsid w:val="00075C04"/>
    <w:rsid w:val="0008106A"/>
    <w:rsid w:val="00081E38"/>
    <w:rsid w:val="000926C8"/>
    <w:rsid w:val="000A45F1"/>
    <w:rsid w:val="000B72D6"/>
    <w:rsid w:val="000B7DAC"/>
    <w:rsid w:val="000C04F0"/>
    <w:rsid w:val="000D1414"/>
    <w:rsid w:val="000D4CFF"/>
    <w:rsid w:val="000D7A5C"/>
    <w:rsid w:val="000F5F44"/>
    <w:rsid w:val="00107125"/>
    <w:rsid w:val="001072E2"/>
    <w:rsid w:val="001131BB"/>
    <w:rsid w:val="00124BF8"/>
    <w:rsid w:val="00125EFC"/>
    <w:rsid w:val="00135218"/>
    <w:rsid w:val="00137024"/>
    <w:rsid w:val="0014203C"/>
    <w:rsid w:val="00145916"/>
    <w:rsid w:val="00152688"/>
    <w:rsid w:val="0016135C"/>
    <w:rsid w:val="0016244A"/>
    <w:rsid w:val="001773A1"/>
    <w:rsid w:val="00177C2D"/>
    <w:rsid w:val="001820D4"/>
    <w:rsid w:val="00182508"/>
    <w:rsid w:val="00186CBC"/>
    <w:rsid w:val="00193C52"/>
    <w:rsid w:val="00194548"/>
    <w:rsid w:val="001A01BF"/>
    <w:rsid w:val="001A5005"/>
    <w:rsid w:val="001D07D7"/>
    <w:rsid w:val="001D2D48"/>
    <w:rsid w:val="001D4B0F"/>
    <w:rsid w:val="001E4524"/>
    <w:rsid w:val="001E58C5"/>
    <w:rsid w:val="001F3E13"/>
    <w:rsid w:val="001F4573"/>
    <w:rsid w:val="00207EC2"/>
    <w:rsid w:val="00213B9E"/>
    <w:rsid w:val="00213E64"/>
    <w:rsid w:val="00220437"/>
    <w:rsid w:val="00224000"/>
    <w:rsid w:val="002318BD"/>
    <w:rsid w:val="00242D22"/>
    <w:rsid w:val="00256A6A"/>
    <w:rsid w:val="00263247"/>
    <w:rsid w:val="0026451E"/>
    <w:rsid w:val="00264A0D"/>
    <w:rsid w:val="002678DB"/>
    <w:rsid w:val="00274566"/>
    <w:rsid w:val="002818C2"/>
    <w:rsid w:val="002821E7"/>
    <w:rsid w:val="002830AE"/>
    <w:rsid w:val="00286831"/>
    <w:rsid w:val="002869EE"/>
    <w:rsid w:val="002A149B"/>
    <w:rsid w:val="002C3B5E"/>
    <w:rsid w:val="002C7550"/>
    <w:rsid w:val="002E17C2"/>
    <w:rsid w:val="002E582F"/>
    <w:rsid w:val="002E75FF"/>
    <w:rsid w:val="002F5BD7"/>
    <w:rsid w:val="00303953"/>
    <w:rsid w:val="0031023C"/>
    <w:rsid w:val="003121AB"/>
    <w:rsid w:val="00312D6E"/>
    <w:rsid w:val="003222C3"/>
    <w:rsid w:val="00322A83"/>
    <w:rsid w:val="00323F43"/>
    <w:rsid w:val="00330E9F"/>
    <w:rsid w:val="003314BD"/>
    <w:rsid w:val="00331F14"/>
    <w:rsid w:val="00332561"/>
    <w:rsid w:val="003330E0"/>
    <w:rsid w:val="00333599"/>
    <w:rsid w:val="00346102"/>
    <w:rsid w:val="003529AD"/>
    <w:rsid w:val="0035616D"/>
    <w:rsid w:val="00364264"/>
    <w:rsid w:val="00364F77"/>
    <w:rsid w:val="00365F74"/>
    <w:rsid w:val="0037009C"/>
    <w:rsid w:val="00375EC2"/>
    <w:rsid w:val="003938FB"/>
    <w:rsid w:val="003B11D9"/>
    <w:rsid w:val="003C34A1"/>
    <w:rsid w:val="003C5A61"/>
    <w:rsid w:val="003C6AE4"/>
    <w:rsid w:val="003D6243"/>
    <w:rsid w:val="003D7DB5"/>
    <w:rsid w:val="003E102B"/>
    <w:rsid w:val="003E2C37"/>
    <w:rsid w:val="003E3A5F"/>
    <w:rsid w:val="003F584A"/>
    <w:rsid w:val="003F6FA3"/>
    <w:rsid w:val="0040032B"/>
    <w:rsid w:val="00414ADB"/>
    <w:rsid w:val="00414C59"/>
    <w:rsid w:val="0041530E"/>
    <w:rsid w:val="00422B4A"/>
    <w:rsid w:val="0042349B"/>
    <w:rsid w:val="00425A56"/>
    <w:rsid w:val="00431B63"/>
    <w:rsid w:val="00436590"/>
    <w:rsid w:val="00441B3A"/>
    <w:rsid w:val="0044439F"/>
    <w:rsid w:val="00451F60"/>
    <w:rsid w:val="004544E7"/>
    <w:rsid w:val="00454569"/>
    <w:rsid w:val="00454A38"/>
    <w:rsid w:val="0046091B"/>
    <w:rsid w:val="00472432"/>
    <w:rsid w:val="00495702"/>
    <w:rsid w:val="00497676"/>
    <w:rsid w:val="00497EC8"/>
    <w:rsid w:val="004A047C"/>
    <w:rsid w:val="004A2406"/>
    <w:rsid w:val="004A45F4"/>
    <w:rsid w:val="004A533D"/>
    <w:rsid w:val="004A6B72"/>
    <w:rsid w:val="004A729A"/>
    <w:rsid w:val="004B31C0"/>
    <w:rsid w:val="004B47AB"/>
    <w:rsid w:val="004B4AD1"/>
    <w:rsid w:val="004B5CAD"/>
    <w:rsid w:val="004C50E0"/>
    <w:rsid w:val="004C677D"/>
    <w:rsid w:val="004C7C45"/>
    <w:rsid w:val="004D58A5"/>
    <w:rsid w:val="004D78D1"/>
    <w:rsid w:val="004F0FF5"/>
    <w:rsid w:val="00512978"/>
    <w:rsid w:val="00512F80"/>
    <w:rsid w:val="00512F88"/>
    <w:rsid w:val="00515125"/>
    <w:rsid w:val="005175DC"/>
    <w:rsid w:val="005223DC"/>
    <w:rsid w:val="00527160"/>
    <w:rsid w:val="0052790D"/>
    <w:rsid w:val="00535D01"/>
    <w:rsid w:val="0053733C"/>
    <w:rsid w:val="00561FF5"/>
    <w:rsid w:val="0056347C"/>
    <w:rsid w:val="00566BEB"/>
    <w:rsid w:val="00575B86"/>
    <w:rsid w:val="005A359B"/>
    <w:rsid w:val="005A5B32"/>
    <w:rsid w:val="005A78B3"/>
    <w:rsid w:val="005C462D"/>
    <w:rsid w:val="005C76FA"/>
    <w:rsid w:val="005D1F9A"/>
    <w:rsid w:val="005D3A03"/>
    <w:rsid w:val="005D749E"/>
    <w:rsid w:val="005E412C"/>
    <w:rsid w:val="005E668A"/>
    <w:rsid w:val="005E712C"/>
    <w:rsid w:val="005E7BB9"/>
    <w:rsid w:val="00602A08"/>
    <w:rsid w:val="00605C46"/>
    <w:rsid w:val="0061055D"/>
    <w:rsid w:val="00615F5C"/>
    <w:rsid w:val="00626D35"/>
    <w:rsid w:val="0063113E"/>
    <w:rsid w:val="00643586"/>
    <w:rsid w:val="00643ACA"/>
    <w:rsid w:val="00644F64"/>
    <w:rsid w:val="00652366"/>
    <w:rsid w:val="00652EB4"/>
    <w:rsid w:val="006629BC"/>
    <w:rsid w:val="006657D1"/>
    <w:rsid w:val="006702BC"/>
    <w:rsid w:val="00674742"/>
    <w:rsid w:val="00680676"/>
    <w:rsid w:val="00683BE5"/>
    <w:rsid w:val="0069051F"/>
    <w:rsid w:val="00692102"/>
    <w:rsid w:val="006A0555"/>
    <w:rsid w:val="006A23C4"/>
    <w:rsid w:val="006A3EE6"/>
    <w:rsid w:val="006A5DA4"/>
    <w:rsid w:val="006B04A5"/>
    <w:rsid w:val="006B1DEB"/>
    <w:rsid w:val="006B4047"/>
    <w:rsid w:val="006C302E"/>
    <w:rsid w:val="006C6E1D"/>
    <w:rsid w:val="006D4E2E"/>
    <w:rsid w:val="006E7F88"/>
    <w:rsid w:val="006F1E7D"/>
    <w:rsid w:val="006F33C0"/>
    <w:rsid w:val="006F3792"/>
    <w:rsid w:val="006F4D7F"/>
    <w:rsid w:val="006F5C16"/>
    <w:rsid w:val="006F72FA"/>
    <w:rsid w:val="006F7313"/>
    <w:rsid w:val="00700D55"/>
    <w:rsid w:val="00717325"/>
    <w:rsid w:val="007176B4"/>
    <w:rsid w:val="00721EE1"/>
    <w:rsid w:val="0072585C"/>
    <w:rsid w:val="00725C72"/>
    <w:rsid w:val="0072750A"/>
    <w:rsid w:val="00742F3F"/>
    <w:rsid w:val="0074367C"/>
    <w:rsid w:val="0074464C"/>
    <w:rsid w:val="00745521"/>
    <w:rsid w:val="0074795D"/>
    <w:rsid w:val="007561BB"/>
    <w:rsid w:val="0075668C"/>
    <w:rsid w:val="0075748C"/>
    <w:rsid w:val="0076093C"/>
    <w:rsid w:val="00760D88"/>
    <w:rsid w:val="0076214A"/>
    <w:rsid w:val="007679A9"/>
    <w:rsid w:val="00767AF0"/>
    <w:rsid w:val="0077048E"/>
    <w:rsid w:val="0078350A"/>
    <w:rsid w:val="00795085"/>
    <w:rsid w:val="007A5777"/>
    <w:rsid w:val="007B08E8"/>
    <w:rsid w:val="007B6426"/>
    <w:rsid w:val="007C361A"/>
    <w:rsid w:val="007C36D3"/>
    <w:rsid w:val="007D4DDF"/>
    <w:rsid w:val="007E0CDB"/>
    <w:rsid w:val="007F05F9"/>
    <w:rsid w:val="007F1410"/>
    <w:rsid w:val="007F18B8"/>
    <w:rsid w:val="008009ED"/>
    <w:rsid w:val="00811886"/>
    <w:rsid w:val="00817CB6"/>
    <w:rsid w:val="0082376F"/>
    <w:rsid w:val="00827D5D"/>
    <w:rsid w:val="008334D6"/>
    <w:rsid w:val="008376BA"/>
    <w:rsid w:val="00840925"/>
    <w:rsid w:val="00842045"/>
    <w:rsid w:val="00842B40"/>
    <w:rsid w:val="0085372B"/>
    <w:rsid w:val="0085594B"/>
    <w:rsid w:val="00860290"/>
    <w:rsid w:val="00871521"/>
    <w:rsid w:val="00873C62"/>
    <w:rsid w:val="0087735D"/>
    <w:rsid w:val="00881B77"/>
    <w:rsid w:val="00884C53"/>
    <w:rsid w:val="0088728D"/>
    <w:rsid w:val="00890B5F"/>
    <w:rsid w:val="008A2E89"/>
    <w:rsid w:val="008A32B9"/>
    <w:rsid w:val="008A4253"/>
    <w:rsid w:val="008A4641"/>
    <w:rsid w:val="008A69D1"/>
    <w:rsid w:val="008B4F18"/>
    <w:rsid w:val="008B78F4"/>
    <w:rsid w:val="008C0FE5"/>
    <w:rsid w:val="008E108F"/>
    <w:rsid w:val="008F0960"/>
    <w:rsid w:val="008F2309"/>
    <w:rsid w:val="008F356C"/>
    <w:rsid w:val="008F5535"/>
    <w:rsid w:val="00907BF1"/>
    <w:rsid w:val="009121D7"/>
    <w:rsid w:val="00914F82"/>
    <w:rsid w:val="00917324"/>
    <w:rsid w:val="009262AB"/>
    <w:rsid w:val="00926862"/>
    <w:rsid w:val="00927AB5"/>
    <w:rsid w:val="00954A77"/>
    <w:rsid w:val="00955E9C"/>
    <w:rsid w:val="00962601"/>
    <w:rsid w:val="00967F8B"/>
    <w:rsid w:val="00980784"/>
    <w:rsid w:val="00981271"/>
    <w:rsid w:val="00982B5B"/>
    <w:rsid w:val="00985B5D"/>
    <w:rsid w:val="00985B99"/>
    <w:rsid w:val="00991CDA"/>
    <w:rsid w:val="00994F5A"/>
    <w:rsid w:val="009A07FD"/>
    <w:rsid w:val="009A2C18"/>
    <w:rsid w:val="009A4655"/>
    <w:rsid w:val="009B31DE"/>
    <w:rsid w:val="009C19DC"/>
    <w:rsid w:val="009C3023"/>
    <w:rsid w:val="009C3971"/>
    <w:rsid w:val="009D55C7"/>
    <w:rsid w:val="009D60FB"/>
    <w:rsid w:val="009D6251"/>
    <w:rsid w:val="009E016F"/>
    <w:rsid w:val="009E2834"/>
    <w:rsid w:val="009F2C1F"/>
    <w:rsid w:val="009F677C"/>
    <w:rsid w:val="00A005B4"/>
    <w:rsid w:val="00A112A8"/>
    <w:rsid w:val="00A20ECA"/>
    <w:rsid w:val="00A26341"/>
    <w:rsid w:val="00A26B86"/>
    <w:rsid w:val="00A27191"/>
    <w:rsid w:val="00A278F9"/>
    <w:rsid w:val="00A33582"/>
    <w:rsid w:val="00A41D7B"/>
    <w:rsid w:val="00A41F37"/>
    <w:rsid w:val="00A46DEE"/>
    <w:rsid w:val="00A51564"/>
    <w:rsid w:val="00A67080"/>
    <w:rsid w:val="00A74337"/>
    <w:rsid w:val="00A76E4D"/>
    <w:rsid w:val="00A80EE2"/>
    <w:rsid w:val="00A818BB"/>
    <w:rsid w:val="00A90E50"/>
    <w:rsid w:val="00A95DF5"/>
    <w:rsid w:val="00AA199D"/>
    <w:rsid w:val="00AB0E43"/>
    <w:rsid w:val="00AB1388"/>
    <w:rsid w:val="00AC391E"/>
    <w:rsid w:val="00AC3FF5"/>
    <w:rsid w:val="00AD284B"/>
    <w:rsid w:val="00AD3E6A"/>
    <w:rsid w:val="00AE0A9E"/>
    <w:rsid w:val="00AE10F2"/>
    <w:rsid w:val="00B00803"/>
    <w:rsid w:val="00B03138"/>
    <w:rsid w:val="00B077DD"/>
    <w:rsid w:val="00B10952"/>
    <w:rsid w:val="00B11D31"/>
    <w:rsid w:val="00B12824"/>
    <w:rsid w:val="00B24A35"/>
    <w:rsid w:val="00B26469"/>
    <w:rsid w:val="00B31118"/>
    <w:rsid w:val="00B37675"/>
    <w:rsid w:val="00B41EEB"/>
    <w:rsid w:val="00B4494E"/>
    <w:rsid w:val="00B456AD"/>
    <w:rsid w:val="00B51F71"/>
    <w:rsid w:val="00B52FC6"/>
    <w:rsid w:val="00B70FB6"/>
    <w:rsid w:val="00B71BB5"/>
    <w:rsid w:val="00B8011E"/>
    <w:rsid w:val="00B802F0"/>
    <w:rsid w:val="00B85A6E"/>
    <w:rsid w:val="00B94993"/>
    <w:rsid w:val="00B97271"/>
    <w:rsid w:val="00BA18D1"/>
    <w:rsid w:val="00BA4F60"/>
    <w:rsid w:val="00BA619E"/>
    <w:rsid w:val="00BB1904"/>
    <w:rsid w:val="00BC02C1"/>
    <w:rsid w:val="00BC083B"/>
    <w:rsid w:val="00BC1F3B"/>
    <w:rsid w:val="00BC5743"/>
    <w:rsid w:val="00BC574E"/>
    <w:rsid w:val="00BC693B"/>
    <w:rsid w:val="00BE04E2"/>
    <w:rsid w:val="00BE3F36"/>
    <w:rsid w:val="00BF197D"/>
    <w:rsid w:val="00BF6025"/>
    <w:rsid w:val="00BF66B6"/>
    <w:rsid w:val="00BF727B"/>
    <w:rsid w:val="00C00514"/>
    <w:rsid w:val="00C04055"/>
    <w:rsid w:val="00C1556D"/>
    <w:rsid w:val="00C16E18"/>
    <w:rsid w:val="00C16FBA"/>
    <w:rsid w:val="00C1789A"/>
    <w:rsid w:val="00C22981"/>
    <w:rsid w:val="00C36311"/>
    <w:rsid w:val="00C46EA6"/>
    <w:rsid w:val="00C5226F"/>
    <w:rsid w:val="00C54064"/>
    <w:rsid w:val="00C551BC"/>
    <w:rsid w:val="00C56798"/>
    <w:rsid w:val="00C61EF1"/>
    <w:rsid w:val="00C630AE"/>
    <w:rsid w:val="00C63FDD"/>
    <w:rsid w:val="00C649F1"/>
    <w:rsid w:val="00C71EBB"/>
    <w:rsid w:val="00C77BB7"/>
    <w:rsid w:val="00C92CE1"/>
    <w:rsid w:val="00C94D86"/>
    <w:rsid w:val="00CA170A"/>
    <w:rsid w:val="00CA40EC"/>
    <w:rsid w:val="00CB0C07"/>
    <w:rsid w:val="00CB6513"/>
    <w:rsid w:val="00CC3491"/>
    <w:rsid w:val="00CC3613"/>
    <w:rsid w:val="00CD5A53"/>
    <w:rsid w:val="00CE0F2C"/>
    <w:rsid w:val="00CF1F8E"/>
    <w:rsid w:val="00CF5B62"/>
    <w:rsid w:val="00CF74AE"/>
    <w:rsid w:val="00D03E11"/>
    <w:rsid w:val="00D05632"/>
    <w:rsid w:val="00D21741"/>
    <w:rsid w:val="00D225D2"/>
    <w:rsid w:val="00D270FD"/>
    <w:rsid w:val="00D27A2A"/>
    <w:rsid w:val="00D410B0"/>
    <w:rsid w:val="00D47794"/>
    <w:rsid w:val="00D530D0"/>
    <w:rsid w:val="00D66642"/>
    <w:rsid w:val="00D671F4"/>
    <w:rsid w:val="00D77C10"/>
    <w:rsid w:val="00D81B83"/>
    <w:rsid w:val="00D846EB"/>
    <w:rsid w:val="00D87C01"/>
    <w:rsid w:val="00D92DF3"/>
    <w:rsid w:val="00D9402D"/>
    <w:rsid w:val="00D94CF4"/>
    <w:rsid w:val="00D9735C"/>
    <w:rsid w:val="00DA263E"/>
    <w:rsid w:val="00DA6AF9"/>
    <w:rsid w:val="00DA7083"/>
    <w:rsid w:val="00DB26A7"/>
    <w:rsid w:val="00DC13B8"/>
    <w:rsid w:val="00DC6243"/>
    <w:rsid w:val="00DD7F74"/>
    <w:rsid w:val="00DE0D57"/>
    <w:rsid w:val="00DF005C"/>
    <w:rsid w:val="00DF270E"/>
    <w:rsid w:val="00DF3822"/>
    <w:rsid w:val="00DF4666"/>
    <w:rsid w:val="00E02538"/>
    <w:rsid w:val="00E03F20"/>
    <w:rsid w:val="00E06B95"/>
    <w:rsid w:val="00E10EE8"/>
    <w:rsid w:val="00E14B08"/>
    <w:rsid w:val="00E21689"/>
    <w:rsid w:val="00E40D0A"/>
    <w:rsid w:val="00E41126"/>
    <w:rsid w:val="00E54421"/>
    <w:rsid w:val="00E548AE"/>
    <w:rsid w:val="00E54FE7"/>
    <w:rsid w:val="00E67F9E"/>
    <w:rsid w:val="00E75CA9"/>
    <w:rsid w:val="00E84352"/>
    <w:rsid w:val="00E84A2D"/>
    <w:rsid w:val="00E94E85"/>
    <w:rsid w:val="00E94F12"/>
    <w:rsid w:val="00EB0508"/>
    <w:rsid w:val="00EC323A"/>
    <w:rsid w:val="00ED2577"/>
    <w:rsid w:val="00ED35A3"/>
    <w:rsid w:val="00EE11DC"/>
    <w:rsid w:val="00F004FE"/>
    <w:rsid w:val="00F044B6"/>
    <w:rsid w:val="00F07513"/>
    <w:rsid w:val="00F10D58"/>
    <w:rsid w:val="00F112D3"/>
    <w:rsid w:val="00F1664A"/>
    <w:rsid w:val="00F16989"/>
    <w:rsid w:val="00F26F3D"/>
    <w:rsid w:val="00F278C8"/>
    <w:rsid w:val="00F30099"/>
    <w:rsid w:val="00F31829"/>
    <w:rsid w:val="00F43A32"/>
    <w:rsid w:val="00F56480"/>
    <w:rsid w:val="00F57E6B"/>
    <w:rsid w:val="00F633BC"/>
    <w:rsid w:val="00F63B73"/>
    <w:rsid w:val="00F74354"/>
    <w:rsid w:val="00F81848"/>
    <w:rsid w:val="00F8428C"/>
    <w:rsid w:val="00F91115"/>
    <w:rsid w:val="00F94DDC"/>
    <w:rsid w:val="00F96188"/>
    <w:rsid w:val="00F96647"/>
    <w:rsid w:val="00FA2D64"/>
    <w:rsid w:val="00FB2F7F"/>
    <w:rsid w:val="00FB6822"/>
    <w:rsid w:val="00FC1708"/>
    <w:rsid w:val="00FD4C9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B833"/>
  <w15:chartTrackingRefBased/>
  <w15:docId w15:val="{90B3AFC2-49CD-4088-B2FA-9559E1F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17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7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313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313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29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66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55"/>
  </w:style>
  <w:style w:type="paragraph" w:styleId="Footer">
    <w:name w:val="footer"/>
    <w:basedOn w:val="Normal"/>
    <w:link w:val="FooterChar"/>
    <w:uiPriority w:val="99"/>
    <w:unhideWhenUsed/>
    <w:rsid w:val="00C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8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aafp.org/family-physician/patient-care/the-everyone-project/neighborhood-navigator.html.%20Accessed%20November%2030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lisa.calderwood@vandaliahealt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sandra.Simpkins@hsc.wv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Cassandra</dc:creator>
  <cp:keywords/>
  <dc:description/>
  <cp:lastModifiedBy>Calderwood, Lisa C.</cp:lastModifiedBy>
  <cp:revision>2</cp:revision>
  <dcterms:created xsi:type="dcterms:W3CDTF">2024-04-09T13:43:00Z</dcterms:created>
  <dcterms:modified xsi:type="dcterms:W3CDTF">2024-04-09T13:43:00Z</dcterms:modified>
</cp:coreProperties>
</file>