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B6D9" w14:textId="77777777" w:rsidR="001779AA" w:rsidRPr="001779AA" w:rsidRDefault="001779AA" w:rsidP="001779AA">
      <w:pPr>
        <w:pStyle w:val="NoSpacing"/>
        <w:rPr>
          <w:rFonts w:ascii="Constantia" w:hAnsi="Constantia"/>
          <w:b/>
          <w:bCs/>
          <w:sz w:val="24"/>
          <w:szCs w:val="24"/>
        </w:rPr>
      </w:pPr>
      <w:r w:rsidRPr="001779AA">
        <w:rPr>
          <w:rFonts w:ascii="Constantia" w:hAnsi="Constantia"/>
          <w:b/>
          <w:bCs/>
          <w:sz w:val="24"/>
          <w:szCs w:val="24"/>
        </w:rPr>
        <w:t>Narrative Medicine: Keeping ourselves and our learners engaged in clinical practice</w:t>
      </w:r>
      <w:r w:rsidRPr="001779AA">
        <w:rPr>
          <w:rFonts w:ascii="Constantia" w:hAnsi="Constantia"/>
          <w:b/>
          <w:bCs/>
          <w:sz w:val="24"/>
          <w:szCs w:val="24"/>
        </w:rPr>
        <w:t xml:space="preserve"> </w:t>
      </w:r>
    </w:p>
    <w:p w14:paraId="18E89019" w14:textId="6F3A1DCA" w:rsidR="001779AA" w:rsidRPr="001779AA" w:rsidRDefault="001779AA" w:rsidP="001779AA">
      <w:pPr>
        <w:pStyle w:val="NoSpacing"/>
        <w:rPr>
          <w:rFonts w:ascii="Constantia" w:hAnsi="Constantia"/>
          <w:sz w:val="24"/>
          <w:szCs w:val="24"/>
        </w:rPr>
      </w:pPr>
      <w:r w:rsidRPr="001779AA">
        <w:rPr>
          <w:rFonts w:ascii="Constantia" w:hAnsi="Constantia"/>
          <w:sz w:val="24"/>
          <w:szCs w:val="24"/>
        </w:rPr>
        <w:t>41</w:t>
      </w:r>
      <w:r w:rsidRPr="001779AA">
        <w:rPr>
          <w:rFonts w:ascii="Constantia" w:hAnsi="Constantia"/>
          <w:sz w:val="24"/>
          <w:szCs w:val="24"/>
          <w:vertAlign w:val="superscript"/>
        </w:rPr>
        <w:t>st</w:t>
      </w:r>
      <w:r w:rsidRPr="001779AA">
        <w:rPr>
          <w:rFonts w:ascii="Constantia" w:hAnsi="Constantia"/>
          <w:sz w:val="24"/>
          <w:szCs w:val="24"/>
        </w:rPr>
        <w:t xml:space="preserve"> Forum for Behavioral Science in Family Medicine</w:t>
      </w:r>
    </w:p>
    <w:p w14:paraId="599F7175" w14:textId="2395C466" w:rsidR="001779AA" w:rsidRPr="001779AA" w:rsidRDefault="001779AA" w:rsidP="001779AA">
      <w:pPr>
        <w:pStyle w:val="NoSpacing"/>
        <w:rPr>
          <w:rFonts w:ascii="Constantia" w:hAnsi="Constantia"/>
          <w:sz w:val="24"/>
          <w:szCs w:val="24"/>
        </w:rPr>
      </w:pPr>
      <w:r w:rsidRPr="001779AA">
        <w:rPr>
          <w:rFonts w:ascii="Constantia" w:hAnsi="Constantia"/>
          <w:sz w:val="24"/>
          <w:szCs w:val="24"/>
        </w:rPr>
        <w:t>November 6,2020</w:t>
      </w:r>
    </w:p>
    <w:p w14:paraId="439C33D4" w14:textId="77777777" w:rsidR="001779AA" w:rsidRPr="001779AA" w:rsidRDefault="001779AA" w:rsidP="001779AA">
      <w:pPr>
        <w:pStyle w:val="NoSpacing"/>
        <w:rPr>
          <w:rFonts w:ascii="Constantia" w:hAnsi="Constantia"/>
          <w:sz w:val="24"/>
          <w:szCs w:val="24"/>
        </w:rPr>
      </w:pPr>
    </w:p>
    <w:p w14:paraId="6B381000" w14:textId="0CC4167D" w:rsidR="00520ADE" w:rsidRDefault="007E4B6A">
      <w:pPr>
        <w:rPr>
          <w:rFonts w:ascii="Constantia" w:hAnsi="Constantia"/>
          <w:sz w:val="24"/>
          <w:szCs w:val="24"/>
        </w:rPr>
      </w:pPr>
      <w:r w:rsidRPr="007E4B6A">
        <w:rPr>
          <w:rFonts w:ascii="Constantia" w:hAnsi="Constantia"/>
          <w:sz w:val="24"/>
          <w:szCs w:val="24"/>
        </w:rPr>
        <w:t>Bibliography</w:t>
      </w:r>
    </w:p>
    <w:p w14:paraId="15B7D77E" w14:textId="77777777" w:rsidR="001779AA" w:rsidRPr="007E4B6A" w:rsidRDefault="001779AA" w:rsidP="001779A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proofErr w:type="spellStart"/>
      <w:proofErr w:type="gramStart"/>
      <w:r w:rsidRPr="007E4B6A">
        <w:rPr>
          <w:rFonts w:ascii="Constantia" w:hAnsi="Constantia" w:cs="AdvTimes"/>
          <w:sz w:val="24"/>
          <w:szCs w:val="24"/>
          <w:lang w:val="en"/>
        </w:rPr>
        <w:t>Bennett,J</w:t>
      </w:r>
      <w:proofErr w:type="spellEnd"/>
      <w:r w:rsidRPr="007E4B6A">
        <w:rPr>
          <w:rFonts w:ascii="Constantia" w:hAnsi="Constantia" w:cs="AdvTimes"/>
          <w:sz w:val="24"/>
          <w:szCs w:val="24"/>
          <w:lang w:val="en"/>
        </w:rPr>
        <w:t>.</w:t>
      </w:r>
      <w:proofErr w:type="gramEnd"/>
      <w:r w:rsidRPr="007E4B6A">
        <w:rPr>
          <w:rFonts w:ascii="Constantia" w:hAnsi="Constantia" w:cs="AdvTimes"/>
          <w:sz w:val="24"/>
          <w:szCs w:val="24"/>
          <w:lang w:val="en"/>
        </w:rPr>
        <w:t xml:space="preserve"> Tamara's Opus. </w:t>
      </w:r>
      <w:bookmarkStart w:id="0" w:name="_GoBack"/>
      <w:bookmarkEnd w:id="0"/>
      <w:r w:rsidRPr="007E4B6A">
        <w:rPr>
          <w:rFonts w:ascii="Constantia" w:hAnsi="Constantia" w:cs="AdvTimes"/>
          <w:sz w:val="24"/>
          <w:szCs w:val="24"/>
          <w:lang w:val="en"/>
        </w:rPr>
        <w:t xml:space="preserve">Disability Studies Quarterly. 32(3).   ISSN: 2159-8371 (Online); 1041-5718 (Print)    </w:t>
      </w:r>
      <w:hyperlink r:id="rId4" w:history="1">
        <w:r w:rsidRPr="007E4B6A">
          <w:rPr>
            <w:rFonts w:ascii="Constantia" w:hAnsi="Constantia" w:cs="AdvTimes"/>
            <w:sz w:val="24"/>
            <w:szCs w:val="24"/>
            <w:lang w:val="en"/>
          </w:rPr>
          <w:t>https://dsq-sds.org/article/view/3273/3106</w:t>
        </w:r>
      </w:hyperlink>
    </w:p>
    <w:p w14:paraId="082C76C1" w14:textId="77777777" w:rsidR="001779AA" w:rsidRDefault="001779AA" w:rsidP="001779A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 xml:space="preserve">Bennett, J. Tamara's Opus. An Evening of Poetry, Music and the Spoken Word. 2009. </w:t>
      </w:r>
      <w:hyperlink r:id="rId5" w:history="1">
        <w:r w:rsidRPr="007E4B6A">
          <w:rPr>
            <w:rFonts w:ascii="Constantia" w:hAnsi="Constantia" w:cs="AdvTimes"/>
            <w:sz w:val="24"/>
            <w:szCs w:val="24"/>
            <w:lang w:val="en"/>
          </w:rPr>
          <w:t>https://www.youtube.com/watch?v=_U5BwD8zOeM</w:t>
        </w:r>
      </w:hyperlink>
    </w:p>
    <w:p w14:paraId="6E39BCC3" w14:textId="18EFDAE1" w:rsidR="007E4B6A" w:rsidRDefault="007E4B6A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 xml:space="preserve">Charon R. Close reading. In: Charon R, et al. (eds) </w:t>
      </w:r>
      <w:r w:rsidRPr="007E4B6A">
        <w:rPr>
          <w:rFonts w:ascii="Constantia" w:hAnsi="Constantia" w:cs="AdvTimes-i"/>
          <w:sz w:val="24"/>
          <w:szCs w:val="24"/>
          <w:lang w:val="en"/>
        </w:rPr>
        <w:t>The principles and practice of</w:t>
      </w:r>
      <w:r w:rsidR="001779AA">
        <w:rPr>
          <w:rFonts w:ascii="Constantia" w:hAnsi="Constantia" w:cs="AdvTimes-i"/>
          <w:sz w:val="24"/>
          <w:szCs w:val="24"/>
          <w:lang w:val="en"/>
        </w:rPr>
        <w:t xml:space="preserve"> </w:t>
      </w:r>
      <w:r w:rsidRPr="007E4B6A">
        <w:rPr>
          <w:rFonts w:ascii="Constantia" w:hAnsi="Constantia" w:cs="AdvTimes-i"/>
          <w:sz w:val="24"/>
          <w:szCs w:val="24"/>
          <w:lang w:val="en"/>
        </w:rPr>
        <w:t>narrative medicine</w:t>
      </w:r>
      <w:r w:rsidRPr="007E4B6A">
        <w:rPr>
          <w:rFonts w:ascii="Constantia" w:hAnsi="Constantia" w:cs="AdvTimes"/>
          <w:sz w:val="24"/>
          <w:szCs w:val="24"/>
          <w:lang w:val="en"/>
        </w:rPr>
        <w:t>. New York: Oxford University Press, 2017, pp. 157</w:t>
      </w:r>
      <w:r w:rsidRPr="007E4B6A">
        <w:rPr>
          <w:rFonts w:ascii="Constantia" w:hAnsi="Constantia" w:cs="Arial"/>
          <w:sz w:val="24"/>
          <w:szCs w:val="24"/>
          <w:lang w:val="en"/>
        </w:rPr>
        <w:t>–</w:t>
      </w:r>
      <w:r w:rsidRPr="007E4B6A">
        <w:rPr>
          <w:rFonts w:ascii="Constantia" w:hAnsi="Constantia" w:cs="AdvTimes"/>
          <w:sz w:val="24"/>
          <w:szCs w:val="24"/>
          <w:lang w:val="en"/>
        </w:rPr>
        <w:t>179.</w:t>
      </w:r>
    </w:p>
    <w:p w14:paraId="21329E2A" w14:textId="77777777" w:rsidR="001779AA" w:rsidRPr="007E4B6A" w:rsidRDefault="001779AA" w:rsidP="001779A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 xml:space="preserve">Das Gupta S. Narrative humility. </w:t>
      </w:r>
      <w:r w:rsidRPr="007E4B6A">
        <w:rPr>
          <w:rFonts w:ascii="Constantia" w:hAnsi="Constantia" w:cs="AdvTimes-i"/>
          <w:sz w:val="24"/>
          <w:szCs w:val="24"/>
          <w:lang w:val="en"/>
        </w:rPr>
        <w:t xml:space="preserve">Lancet </w:t>
      </w:r>
      <w:r w:rsidRPr="007E4B6A">
        <w:rPr>
          <w:rFonts w:ascii="Constantia" w:hAnsi="Constantia" w:cs="AdvTimes"/>
          <w:sz w:val="24"/>
          <w:szCs w:val="24"/>
          <w:lang w:val="en"/>
        </w:rPr>
        <w:t>2008; 371: 980</w:t>
      </w:r>
      <w:r w:rsidRPr="007E4B6A">
        <w:rPr>
          <w:rFonts w:ascii="Constantia" w:hAnsi="Constantia" w:cs="Arial"/>
          <w:sz w:val="24"/>
          <w:szCs w:val="24"/>
          <w:lang w:val="en"/>
        </w:rPr>
        <w:t>–</w:t>
      </w:r>
      <w:r w:rsidRPr="007E4B6A">
        <w:rPr>
          <w:rFonts w:ascii="Constantia" w:hAnsi="Constantia" w:cs="AdvTimes"/>
          <w:sz w:val="24"/>
          <w:szCs w:val="24"/>
          <w:lang w:val="en"/>
        </w:rPr>
        <w:t>981.</w:t>
      </w:r>
    </w:p>
    <w:p w14:paraId="4983A251" w14:textId="77777777" w:rsidR="001779AA" w:rsidRPr="007E4B6A" w:rsidRDefault="001779AA" w:rsidP="001779AA">
      <w:pPr>
        <w:autoSpaceDE w:val="0"/>
        <w:autoSpaceDN w:val="0"/>
        <w:adjustRightInd w:val="0"/>
        <w:spacing w:after="0" w:line="240" w:lineRule="auto"/>
        <w:rPr>
          <w:rFonts w:ascii="Constantia" w:hAnsi="Constantia" w:cs="AdvTimes"/>
          <w:sz w:val="24"/>
          <w:szCs w:val="24"/>
        </w:rPr>
      </w:pPr>
      <w:r w:rsidRPr="007E4B6A">
        <w:rPr>
          <w:rFonts w:ascii="Constantia" w:hAnsi="Constantia" w:cs="AdvTimes"/>
          <w:sz w:val="24"/>
          <w:szCs w:val="24"/>
        </w:rPr>
        <w:t>Dixon T. The moth, https://themoth.org/stories/critical-crash (2019, accessed</w:t>
      </w:r>
    </w:p>
    <w:p w14:paraId="59F6D0F8" w14:textId="77777777" w:rsidR="001779AA" w:rsidRPr="007E4B6A" w:rsidRDefault="001779AA" w:rsidP="001779A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</w:rPr>
        <w:t>03 August 2020).</w:t>
      </w:r>
    </w:p>
    <w:p w14:paraId="2F489D32" w14:textId="77777777" w:rsidR="001779AA" w:rsidRPr="007E4B6A" w:rsidRDefault="001779AA" w:rsidP="001779AA">
      <w:pPr>
        <w:autoSpaceDE w:val="0"/>
        <w:autoSpaceDN w:val="0"/>
        <w:adjustRightInd w:val="0"/>
        <w:spacing w:after="0" w:line="240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>Gowda D, et al. Implementing an interprofessional narrative medicine program in</w:t>
      </w:r>
    </w:p>
    <w:p w14:paraId="0FC36068" w14:textId="77777777" w:rsidR="001779AA" w:rsidRPr="007E4B6A" w:rsidRDefault="001779AA" w:rsidP="001779AA">
      <w:pPr>
        <w:autoSpaceDE w:val="0"/>
        <w:autoSpaceDN w:val="0"/>
        <w:adjustRightInd w:val="0"/>
        <w:spacing w:after="0" w:line="240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 xml:space="preserve">academic clinics: feasibility and program evaluation. </w:t>
      </w:r>
      <w:proofErr w:type="spellStart"/>
      <w:r w:rsidRPr="007E4B6A">
        <w:rPr>
          <w:rFonts w:ascii="Constantia" w:hAnsi="Constantia" w:cs="AdvTimes-i"/>
          <w:sz w:val="24"/>
          <w:szCs w:val="24"/>
          <w:lang w:val="en"/>
        </w:rPr>
        <w:t>Perspect</w:t>
      </w:r>
      <w:proofErr w:type="spellEnd"/>
      <w:r w:rsidRPr="007E4B6A">
        <w:rPr>
          <w:rFonts w:ascii="Constantia" w:hAnsi="Constantia" w:cs="AdvTimes-i"/>
          <w:sz w:val="24"/>
          <w:szCs w:val="24"/>
          <w:lang w:val="en"/>
        </w:rPr>
        <w:t xml:space="preserve"> Med Educ </w:t>
      </w:r>
      <w:r w:rsidRPr="007E4B6A">
        <w:rPr>
          <w:rFonts w:ascii="Constantia" w:hAnsi="Constantia" w:cs="AdvTimes"/>
          <w:sz w:val="24"/>
          <w:szCs w:val="24"/>
          <w:lang w:val="en"/>
        </w:rPr>
        <w:t>2019; 8:</w:t>
      </w:r>
    </w:p>
    <w:p w14:paraId="6CBDD43A" w14:textId="67652488" w:rsidR="001779AA" w:rsidRPr="007E4B6A" w:rsidRDefault="001779AA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>52</w:t>
      </w:r>
      <w:r w:rsidRPr="007E4B6A">
        <w:rPr>
          <w:rFonts w:ascii="Constantia" w:hAnsi="Constantia" w:cs="Arial"/>
          <w:sz w:val="24"/>
          <w:szCs w:val="24"/>
          <w:lang w:val="en"/>
        </w:rPr>
        <w:t>–</w:t>
      </w:r>
      <w:r w:rsidRPr="007E4B6A">
        <w:rPr>
          <w:rFonts w:ascii="Constantia" w:hAnsi="Constantia" w:cs="AdvTimes"/>
          <w:sz w:val="24"/>
          <w:szCs w:val="24"/>
          <w:lang w:val="en"/>
        </w:rPr>
        <w:t>59.</w:t>
      </w:r>
    </w:p>
    <w:p w14:paraId="380B7B61" w14:textId="57E3F27E" w:rsidR="007E4B6A" w:rsidRPr="007E4B6A" w:rsidRDefault="007E4B6A" w:rsidP="007E4B6A">
      <w:pPr>
        <w:autoSpaceDE w:val="0"/>
        <w:autoSpaceDN w:val="0"/>
        <w:adjustRightInd w:val="0"/>
        <w:spacing w:after="0" w:line="240" w:lineRule="auto"/>
        <w:rPr>
          <w:rFonts w:ascii="Constantia" w:hAnsi="Constantia" w:cs="AdvTimes-i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 xml:space="preserve">Hermann N. Creativity. Can creativity be taught? In: Charon R, et al. (eds) </w:t>
      </w:r>
      <w:r w:rsidRPr="007E4B6A">
        <w:rPr>
          <w:rFonts w:ascii="Constantia" w:hAnsi="Constantia" w:cs="AdvTimes-i"/>
          <w:sz w:val="24"/>
          <w:szCs w:val="24"/>
          <w:lang w:val="en"/>
        </w:rPr>
        <w:t>The</w:t>
      </w:r>
    </w:p>
    <w:p w14:paraId="2B88F981" w14:textId="77777777" w:rsidR="007E4B6A" w:rsidRPr="007E4B6A" w:rsidRDefault="007E4B6A" w:rsidP="007E4B6A">
      <w:pPr>
        <w:autoSpaceDE w:val="0"/>
        <w:autoSpaceDN w:val="0"/>
        <w:adjustRightInd w:val="0"/>
        <w:spacing w:after="0" w:line="240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-i"/>
          <w:sz w:val="24"/>
          <w:szCs w:val="24"/>
          <w:lang w:val="en"/>
        </w:rPr>
        <w:t>principles and practice of narrative medicine</w:t>
      </w:r>
      <w:r w:rsidRPr="007E4B6A">
        <w:rPr>
          <w:rFonts w:ascii="Constantia" w:hAnsi="Constantia" w:cs="AdvTimes"/>
          <w:sz w:val="24"/>
          <w:szCs w:val="24"/>
          <w:lang w:val="en"/>
        </w:rPr>
        <w:t>. New York: Oxford University Press,</w:t>
      </w:r>
    </w:p>
    <w:p w14:paraId="40D8855B" w14:textId="2B47F786" w:rsidR="007E4B6A" w:rsidRPr="007E4B6A" w:rsidRDefault="007E4B6A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>2017, pp. 211</w:t>
      </w:r>
      <w:r w:rsidRPr="007E4B6A">
        <w:rPr>
          <w:rFonts w:ascii="Constantia" w:hAnsi="Constantia" w:cs="Arial"/>
          <w:sz w:val="24"/>
          <w:szCs w:val="24"/>
          <w:lang w:val="en"/>
        </w:rPr>
        <w:t>–</w:t>
      </w:r>
      <w:r w:rsidRPr="007E4B6A">
        <w:rPr>
          <w:rFonts w:ascii="Constantia" w:hAnsi="Constantia" w:cs="AdvTimes"/>
          <w:sz w:val="24"/>
          <w:szCs w:val="24"/>
          <w:lang w:val="en"/>
        </w:rPr>
        <w:t>232 and 233</w:t>
      </w:r>
      <w:r w:rsidRPr="007E4B6A">
        <w:rPr>
          <w:rFonts w:ascii="Constantia" w:hAnsi="Constantia" w:cs="Arial"/>
          <w:sz w:val="24"/>
          <w:szCs w:val="24"/>
          <w:lang w:val="en"/>
        </w:rPr>
        <w:t>–</w:t>
      </w:r>
      <w:r w:rsidRPr="007E4B6A">
        <w:rPr>
          <w:rFonts w:ascii="Constantia" w:hAnsi="Constantia" w:cs="AdvTimes"/>
          <w:sz w:val="24"/>
          <w:szCs w:val="24"/>
          <w:lang w:val="en"/>
        </w:rPr>
        <w:t>254.</w:t>
      </w:r>
    </w:p>
    <w:p w14:paraId="7ED0EFC0" w14:textId="77777777" w:rsidR="007E4B6A" w:rsidRPr="007E4B6A" w:rsidRDefault="007E4B6A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Calibri"/>
          <w:sz w:val="24"/>
          <w:szCs w:val="24"/>
          <w:lang w:val="en"/>
        </w:rPr>
      </w:pPr>
      <w:r w:rsidRPr="007E4B6A">
        <w:rPr>
          <w:rFonts w:ascii="Constantia" w:hAnsi="Constantia" w:cs="Calibri"/>
          <w:sz w:val="24"/>
          <w:szCs w:val="24"/>
          <w:lang w:val="en"/>
        </w:rPr>
        <w:t>Lijoi, A. Tovar, A. Narrative medicine: re-engaging and re-energizing ourselves through story. International Journal of Psychiatry in Medicine 2020; 55(5): 321-330.</w:t>
      </w:r>
    </w:p>
    <w:p w14:paraId="62AF737B" w14:textId="1D851C53" w:rsidR="007E4B6A" w:rsidRPr="007E4B6A" w:rsidRDefault="007E4B6A" w:rsidP="007E4B6A">
      <w:pPr>
        <w:autoSpaceDE w:val="0"/>
        <w:autoSpaceDN w:val="0"/>
        <w:adjustRightInd w:val="0"/>
        <w:spacing w:after="0" w:line="240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 xml:space="preserve">Lijoi A. Review of “critical crash,” </w:t>
      </w:r>
      <w:hyperlink r:id="rId6" w:history="1">
        <w:r w:rsidRPr="007E4B6A">
          <w:rPr>
            <w:rFonts w:ascii="Constantia" w:hAnsi="Constantia" w:cs="AdvTimes"/>
            <w:sz w:val="24"/>
            <w:szCs w:val="24"/>
            <w:lang w:val="en"/>
          </w:rPr>
          <w:t>https://closler.org/lifelong-learning-in-clinicalexcellence/</w:t>
        </w:r>
      </w:hyperlink>
    </w:p>
    <w:p w14:paraId="7FEE2BFE" w14:textId="79DB59F1" w:rsidR="007E4B6A" w:rsidRPr="007E4B6A" w:rsidRDefault="007E4B6A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>review-of-critical-crash (2019, accessed 15 July 2020).</w:t>
      </w:r>
    </w:p>
    <w:p w14:paraId="585FF2DD" w14:textId="46E91AD0" w:rsidR="007E4B6A" w:rsidRPr="007E4B6A" w:rsidRDefault="007E4B6A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>Lijoi, A. Narrative medicine: a jewel on the physician's tool belt in the era of covid-</w:t>
      </w:r>
      <w:proofErr w:type="gramStart"/>
      <w:r w:rsidRPr="007E4B6A">
        <w:rPr>
          <w:rFonts w:ascii="Constantia" w:hAnsi="Constantia" w:cs="AdvTimes"/>
          <w:sz w:val="24"/>
          <w:szCs w:val="24"/>
          <w:lang w:val="en"/>
        </w:rPr>
        <w:t>19.York</w:t>
      </w:r>
      <w:proofErr w:type="gramEnd"/>
      <w:r w:rsidRPr="007E4B6A">
        <w:rPr>
          <w:rFonts w:ascii="Constantia" w:hAnsi="Constantia" w:cs="AdvTimes"/>
          <w:sz w:val="24"/>
          <w:szCs w:val="24"/>
          <w:lang w:val="en"/>
        </w:rPr>
        <w:t xml:space="preserve"> County Medicine. Summer 2020: 7-11.</w:t>
      </w:r>
    </w:p>
    <w:p w14:paraId="628FCABF" w14:textId="4E48D7C8" w:rsidR="007E4B6A" w:rsidRDefault="007E4B6A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 xml:space="preserve">Narrative medicine: a method for meaning and connection workshop during the pandemic.  The Gold </w:t>
      </w:r>
      <w:proofErr w:type="spellStart"/>
      <w:r w:rsidRPr="007E4B6A">
        <w:rPr>
          <w:rFonts w:ascii="Constantia" w:hAnsi="Constantia" w:cs="AdvTimes"/>
          <w:sz w:val="24"/>
          <w:szCs w:val="24"/>
          <w:lang w:val="en"/>
        </w:rPr>
        <w:t>Uman</w:t>
      </w:r>
      <w:proofErr w:type="spellEnd"/>
      <w:r w:rsidRPr="007E4B6A">
        <w:rPr>
          <w:rFonts w:ascii="Constantia" w:hAnsi="Constantia" w:cs="AdvTimes"/>
          <w:sz w:val="24"/>
          <w:szCs w:val="24"/>
          <w:lang w:val="en"/>
        </w:rPr>
        <w:t xml:space="preserve"> </w:t>
      </w:r>
      <w:proofErr w:type="spellStart"/>
      <w:r w:rsidRPr="007E4B6A">
        <w:rPr>
          <w:rFonts w:ascii="Constantia" w:hAnsi="Constantia" w:cs="AdvTimes"/>
          <w:sz w:val="24"/>
          <w:szCs w:val="24"/>
          <w:lang w:val="en"/>
        </w:rPr>
        <w:t>InSight</w:t>
      </w:r>
      <w:proofErr w:type="spellEnd"/>
      <w:r w:rsidRPr="007E4B6A">
        <w:rPr>
          <w:rFonts w:ascii="Constantia" w:hAnsi="Constantia" w:cs="AdvTimes"/>
          <w:sz w:val="24"/>
          <w:szCs w:val="24"/>
          <w:lang w:val="en"/>
        </w:rPr>
        <w:t xml:space="preserve"> Series. June 12, 2020. </w:t>
      </w:r>
      <w:hyperlink r:id="rId7" w:history="1">
        <w:r w:rsidRPr="007E4B6A">
          <w:rPr>
            <w:rFonts w:ascii="Constantia" w:hAnsi="Constantia" w:cs="AdvTimes"/>
            <w:sz w:val="24"/>
            <w:szCs w:val="24"/>
            <w:lang w:val="en"/>
          </w:rPr>
          <w:t>https://www.gold-foundation.org/newsroom/video/gold-human-insight-webinar-series-narrative-medicine-connection-workshop-during-the-pandemic/</w:t>
        </w:r>
      </w:hyperlink>
      <w:r w:rsidR="003245E2">
        <w:rPr>
          <w:rFonts w:ascii="Constantia" w:hAnsi="Constantia" w:cs="AdvTimes"/>
          <w:sz w:val="24"/>
          <w:szCs w:val="24"/>
          <w:lang w:val="en"/>
        </w:rPr>
        <w:t xml:space="preserve"> </w:t>
      </w:r>
    </w:p>
    <w:p w14:paraId="63147F94" w14:textId="77777777" w:rsidR="001779AA" w:rsidRPr="007E4B6A" w:rsidRDefault="001779AA" w:rsidP="001779AA">
      <w:pPr>
        <w:autoSpaceDE w:val="0"/>
        <w:autoSpaceDN w:val="0"/>
        <w:adjustRightInd w:val="0"/>
        <w:spacing w:after="0" w:line="240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t>Small L, et al. Using narrative medicine to build community across the health professions</w:t>
      </w:r>
    </w:p>
    <w:p w14:paraId="246F2BBB" w14:textId="77777777" w:rsidR="001779AA" w:rsidRPr="007E4B6A" w:rsidRDefault="001779AA" w:rsidP="001779A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  <w:r w:rsidRPr="007E4B6A">
        <w:rPr>
          <w:rFonts w:ascii="Constantia" w:hAnsi="Constantia" w:cs="AdvTimes"/>
          <w:sz w:val="24"/>
          <w:szCs w:val="24"/>
          <w:lang w:val="en"/>
        </w:rPr>
        <w:lastRenderedPageBreak/>
        <w:t xml:space="preserve">and foster self-care. </w:t>
      </w:r>
      <w:r w:rsidRPr="007E4B6A">
        <w:rPr>
          <w:rFonts w:ascii="Constantia" w:hAnsi="Constantia" w:cs="AdvTimes-i"/>
          <w:sz w:val="24"/>
          <w:szCs w:val="24"/>
          <w:lang w:val="en"/>
        </w:rPr>
        <w:t xml:space="preserve">J </w:t>
      </w:r>
      <w:proofErr w:type="spellStart"/>
      <w:r w:rsidRPr="007E4B6A">
        <w:rPr>
          <w:rFonts w:ascii="Constantia" w:hAnsi="Constantia" w:cs="AdvTimes-i"/>
          <w:sz w:val="24"/>
          <w:szCs w:val="24"/>
          <w:lang w:val="en"/>
        </w:rPr>
        <w:t>Radiol</w:t>
      </w:r>
      <w:proofErr w:type="spellEnd"/>
      <w:r w:rsidRPr="007E4B6A">
        <w:rPr>
          <w:rFonts w:ascii="Constantia" w:hAnsi="Constantia" w:cs="AdvTimes-i"/>
          <w:sz w:val="24"/>
          <w:szCs w:val="24"/>
          <w:lang w:val="en"/>
        </w:rPr>
        <w:t xml:space="preserve"> </w:t>
      </w:r>
      <w:proofErr w:type="spellStart"/>
      <w:r w:rsidRPr="007E4B6A">
        <w:rPr>
          <w:rFonts w:ascii="Constantia" w:hAnsi="Constantia" w:cs="AdvTimes-i"/>
          <w:sz w:val="24"/>
          <w:szCs w:val="24"/>
          <w:lang w:val="en"/>
        </w:rPr>
        <w:t>Nurs</w:t>
      </w:r>
      <w:proofErr w:type="spellEnd"/>
      <w:r w:rsidRPr="007E4B6A">
        <w:rPr>
          <w:rFonts w:ascii="Constantia" w:hAnsi="Constantia" w:cs="AdvTimes-i"/>
          <w:sz w:val="24"/>
          <w:szCs w:val="24"/>
          <w:lang w:val="en"/>
        </w:rPr>
        <w:t xml:space="preserve"> </w:t>
      </w:r>
      <w:r w:rsidRPr="007E4B6A">
        <w:rPr>
          <w:rFonts w:ascii="Constantia" w:hAnsi="Constantia" w:cs="AdvTimes"/>
          <w:sz w:val="24"/>
          <w:szCs w:val="24"/>
          <w:lang w:val="en"/>
        </w:rPr>
        <w:t>2017: 36: 224</w:t>
      </w:r>
      <w:r w:rsidRPr="007E4B6A">
        <w:rPr>
          <w:rFonts w:ascii="Constantia" w:hAnsi="Constantia" w:cs="Arial"/>
          <w:sz w:val="24"/>
          <w:szCs w:val="24"/>
          <w:lang w:val="en"/>
        </w:rPr>
        <w:t>–</w:t>
      </w:r>
      <w:r w:rsidRPr="007E4B6A">
        <w:rPr>
          <w:rFonts w:ascii="Constantia" w:hAnsi="Constantia" w:cs="AdvTimes"/>
          <w:sz w:val="24"/>
          <w:szCs w:val="24"/>
          <w:lang w:val="en"/>
        </w:rPr>
        <w:t>227.</w:t>
      </w:r>
    </w:p>
    <w:p w14:paraId="5B8AEAB9" w14:textId="77777777" w:rsidR="001779AA" w:rsidRDefault="001779AA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</w:p>
    <w:p w14:paraId="6E17DC5E" w14:textId="77777777" w:rsidR="003245E2" w:rsidRPr="007E4B6A" w:rsidRDefault="003245E2" w:rsidP="007E4B6A">
      <w:pPr>
        <w:autoSpaceDE w:val="0"/>
        <w:autoSpaceDN w:val="0"/>
        <w:adjustRightInd w:val="0"/>
        <w:spacing w:after="200" w:line="276" w:lineRule="auto"/>
        <w:rPr>
          <w:rFonts w:ascii="Constantia" w:hAnsi="Constantia" w:cs="AdvTimes"/>
          <w:sz w:val="24"/>
          <w:szCs w:val="24"/>
          <w:lang w:val="en"/>
        </w:rPr>
      </w:pPr>
    </w:p>
    <w:p w14:paraId="222B8007" w14:textId="77777777" w:rsidR="007E4B6A" w:rsidRDefault="007E4B6A" w:rsidP="007E4B6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178F8BD2" w14:textId="77777777" w:rsidR="007E4B6A" w:rsidRDefault="007E4B6A"/>
    <w:sectPr w:rsidR="007E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dv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-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6A"/>
    <w:rsid w:val="001779AA"/>
    <w:rsid w:val="003245E2"/>
    <w:rsid w:val="00520ADE"/>
    <w:rsid w:val="007E4B6A"/>
    <w:rsid w:val="00A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2C81"/>
  <w15:chartTrackingRefBased/>
  <w15:docId w15:val="{F7EEA0A7-AAE8-41A5-ACEB-80DCE172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ld-foundation.org/newsroom/video/gold-human-insight-webinar-series-narrative-medicine-connection-workshop-during-the-pandem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sler.org/lifelong-learning-in-clinicalexcellence/" TargetMode="External"/><Relationship Id="rId5" Type="http://schemas.openxmlformats.org/officeDocument/2006/relationships/hyperlink" Target="https://www.youtube.com/watch?v=_U5BwD8zOeM" TargetMode="External"/><Relationship Id="rId4" Type="http://schemas.openxmlformats.org/officeDocument/2006/relationships/hyperlink" Target="https://dsq-sds.org/article/view/3273/31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Lijoi, Andre</dc:creator>
  <cp:keywords/>
  <dc:description/>
  <cp:lastModifiedBy>Lijoi, Andre</cp:lastModifiedBy>
  <cp:revision>2</cp:revision>
  <dcterms:created xsi:type="dcterms:W3CDTF">2020-10-21T03:19:00Z</dcterms:created>
  <dcterms:modified xsi:type="dcterms:W3CDTF">2020-10-21T03:19:00Z</dcterms:modified>
</cp:coreProperties>
</file>