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A5C4BB" w14:textId="77777777" w:rsidR="00230495" w:rsidRPr="00902667" w:rsidRDefault="005325C9">
      <w:pPr>
        <w:rPr>
          <w:rFonts w:hint="eastAsia"/>
          <w:sz w:val="20"/>
          <w:szCs w:val="20"/>
        </w:rPr>
      </w:pPr>
      <w:r w:rsidRPr="00902667">
        <w:rPr>
          <w:sz w:val="20"/>
          <w:szCs w:val="20"/>
        </w:rPr>
        <w:t>37</w:t>
      </w:r>
      <w:r w:rsidRPr="00902667">
        <w:rPr>
          <w:sz w:val="20"/>
          <w:szCs w:val="20"/>
          <w:vertAlign w:val="superscript"/>
        </w:rPr>
        <w:t>th</w:t>
      </w:r>
      <w:r w:rsidRPr="00902667">
        <w:rPr>
          <w:sz w:val="20"/>
          <w:szCs w:val="20"/>
        </w:rPr>
        <w:t xml:space="preserve"> Forum for Behavioral Science in Family Medicine </w:t>
      </w:r>
    </w:p>
    <w:p w14:paraId="7B7AEF59" w14:textId="50435C76" w:rsidR="000E0E7C" w:rsidRPr="00902667" w:rsidRDefault="005325C9">
      <w:pPr>
        <w:rPr>
          <w:rFonts w:hint="eastAsia"/>
          <w:sz w:val="20"/>
          <w:szCs w:val="20"/>
        </w:rPr>
      </w:pPr>
      <w:r w:rsidRPr="00902667">
        <w:rPr>
          <w:sz w:val="20"/>
          <w:szCs w:val="20"/>
        </w:rPr>
        <w:t>“</w:t>
      </w:r>
      <w:bookmarkStart w:id="0" w:name="_GoBack"/>
      <w:r w:rsidRPr="00902667">
        <w:rPr>
          <w:sz w:val="20"/>
          <w:szCs w:val="20"/>
        </w:rPr>
        <w:t>How double-boarded physicians improve behavioral health education for all learners</w:t>
      </w:r>
      <w:bookmarkEnd w:id="0"/>
      <w:r w:rsidRPr="00902667">
        <w:rPr>
          <w:sz w:val="20"/>
          <w:szCs w:val="20"/>
        </w:rPr>
        <w:t xml:space="preserve"> “</w:t>
      </w:r>
    </w:p>
    <w:p w14:paraId="363D2C88" w14:textId="77777777" w:rsidR="000E0E7C" w:rsidRPr="00902667" w:rsidRDefault="000E0E7C" w:rsidP="000E0E7C">
      <w:pPr>
        <w:pStyle w:val="ListParagraph"/>
        <w:numPr>
          <w:ilvl w:val="0"/>
          <w:numId w:val="1"/>
        </w:numPr>
        <w:rPr>
          <w:rFonts w:hint="eastAsia"/>
          <w:sz w:val="20"/>
          <w:szCs w:val="20"/>
        </w:rPr>
      </w:pPr>
      <w:r w:rsidRPr="00902667">
        <w:rPr>
          <w:sz w:val="20"/>
          <w:szCs w:val="20"/>
        </w:rPr>
        <w:t>Dual-Board Training Options</w:t>
      </w:r>
    </w:p>
    <w:p w14:paraId="2D3DAE1E" w14:textId="77777777" w:rsidR="007F228C" w:rsidRPr="00902667" w:rsidRDefault="007F228C" w:rsidP="007F228C">
      <w:pPr>
        <w:pStyle w:val="ListParagraph"/>
        <w:numPr>
          <w:ilvl w:val="1"/>
          <w:numId w:val="1"/>
        </w:numPr>
        <w:rPr>
          <w:rFonts w:hint="eastAsia"/>
          <w:sz w:val="20"/>
          <w:szCs w:val="20"/>
        </w:rPr>
      </w:pPr>
      <w:r w:rsidRPr="00902667">
        <w:rPr>
          <w:sz w:val="20"/>
          <w:szCs w:val="20"/>
        </w:rPr>
        <w:t>Combined Training Programs in Medicine and Psychiatry for Resident Physicians</w:t>
      </w:r>
    </w:p>
    <w:p w14:paraId="6D8EF5C6" w14:textId="324D8CCA" w:rsidR="007F228C" w:rsidRPr="00902667" w:rsidRDefault="007F228C" w:rsidP="007F228C">
      <w:pPr>
        <w:pStyle w:val="ListParagraph"/>
        <w:numPr>
          <w:ilvl w:val="2"/>
          <w:numId w:val="1"/>
        </w:numPr>
        <w:rPr>
          <w:rFonts w:hint="eastAsia"/>
          <w:sz w:val="20"/>
          <w:szCs w:val="20"/>
        </w:rPr>
      </w:pPr>
      <w:r w:rsidRPr="00902667">
        <w:rPr>
          <w:sz w:val="20"/>
          <w:szCs w:val="20"/>
        </w:rPr>
        <w:t>First programs emerged in the 1990s</w:t>
      </w:r>
    </w:p>
    <w:p w14:paraId="2077A677" w14:textId="77777777" w:rsidR="007F228C" w:rsidRPr="00902667" w:rsidRDefault="007F228C" w:rsidP="007F228C">
      <w:pPr>
        <w:pStyle w:val="ListParagraph"/>
        <w:numPr>
          <w:ilvl w:val="2"/>
          <w:numId w:val="1"/>
        </w:numPr>
        <w:spacing w:after="0"/>
        <w:rPr>
          <w:rFonts w:hint="eastAsia"/>
          <w:sz w:val="20"/>
          <w:szCs w:val="20"/>
        </w:rPr>
      </w:pPr>
      <w:r w:rsidRPr="00902667">
        <w:rPr>
          <w:sz w:val="20"/>
          <w:szCs w:val="20"/>
        </w:rPr>
        <w:t>5 Family Medicine-Psychiatry Programs</w:t>
      </w:r>
    </w:p>
    <w:p w14:paraId="2939EEAF" w14:textId="77777777" w:rsidR="007F228C" w:rsidRPr="00902667" w:rsidRDefault="007F228C" w:rsidP="007F228C">
      <w:pPr>
        <w:pStyle w:val="ListParagraph"/>
        <w:numPr>
          <w:ilvl w:val="2"/>
          <w:numId w:val="1"/>
        </w:numPr>
        <w:spacing w:after="0"/>
        <w:rPr>
          <w:rFonts w:hint="eastAsia"/>
          <w:sz w:val="20"/>
          <w:szCs w:val="20"/>
        </w:rPr>
      </w:pPr>
      <w:r w:rsidRPr="00902667">
        <w:rPr>
          <w:sz w:val="20"/>
          <w:szCs w:val="20"/>
        </w:rPr>
        <w:t>12 Internal Medicine-Psychiatry Programs</w:t>
      </w:r>
    </w:p>
    <w:p w14:paraId="7415AB4A" w14:textId="3A8C534F" w:rsidR="007F228C" w:rsidRPr="00902667" w:rsidRDefault="007F228C" w:rsidP="007F228C">
      <w:pPr>
        <w:pStyle w:val="ListParagraph"/>
        <w:numPr>
          <w:ilvl w:val="2"/>
          <w:numId w:val="1"/>
        </w:numPr>
        <w:spacing w:after="0"/>
        <w:rPr>
          <w:rFonts w:hint="eastAsia"/>
          <w:sz w:val="20"/>
          <w:szCs w:val="20"/>
        </w:rPr>
      </w:pPr>
      <w:r w:rsidRPr="00902667">
        <w:rPr>
          <w:sz w:val="20"/>
          <w:szCs w:val="20"/>
        </w:rPr>
        <w:t>10 “Triple Board” Pediatrics-Psychiatry-Child Psychiatry Programs</w:t>
      </w:r>
    </w:p>
    <w:p w14:paraId="3EB4FD38" w14:textId="3570386E" w:rsidR="00B2126E" w:rsidRPr="00902667" w:rsidRDefault="00B2126E" w:rsidP="00B2126E">
      <w:pPr>
        <w:pStyle w:val="ListParagraph"/>
        <w:numPr>
          <w:ilvl w:val="1"/>
          <w:numId w:val="1"/>
        </w:numPr>
        <w:spacing w:after="0"/>
        <w:rPr>
          <w:rFonts w:hint="eastAsia"/>
          <w:sz w:val="20"/>
          <w:szCs w:val="20"/>
        </w:rPr>
      </w:pPr>
      <w:r w:rsidRPr="00902667">
        <w:rPr>
          <w:sz w:val="20"/>
          <w:szCs w:val="20"/>
        </w:rPr>
        <w:t>Basics of Training</w:t>
      </w:r>
    </w:p>
    <w:p w14:paraId="5F580895" w14:textId="767B1AD9" w:rsidR="00B2126E" w:rsidRPr="00902667" w:rsidRDefault="00B2126E" w:rsidP="00B2126E">
      <w:pPr>
        <w:pStyle w:val="ListParagraph"/>
        <w:numPr>
          <w:ilvl w:val="2"/>
          <w:numId w:val="1"/>
        </w:numPr>
        <w:spacing w:after="0"/>
        <w:rPr>
          <w:rFonts w:hint="eastAsia"/>
          <w:sz w:val="20"/>
          <w:szCs w:val="20"/>
        </w:rPr>
      </w:pPr>
      <w:r w:rsidRPr="00902667">
        <w:rPr>
          <w:sz w:val="20"/>
          <w:szCs w:val="20"/>
        </w:rPr>
        <w:t xml:space="preserve">Residencies are 5 years and blend medicine and psychiatry </w:t>
      </w:r>
    </w:p>
    <w:p w14:paraId="4F4E37E9" w14:textId="77777777" w:rsidR="00B2126E" w:rsidRPr="00902667" w:rsidRDefault="00B2126E" w:rsidP="00B2126E">
      <w:pPr>
        <w:pStyle w:val="ListParagraph"/>
        <w:numPr>
          <w:ilvl w:val="2"/>
          <w:numId w:val="1"/>
        </w:numPr>
        <w:spacing w:after="0"/>
        <w:rPr>
          <w:rFonts w:hint="eastAsia"/>
          <w:sz w:val="20"/>
          <w:szCs w:val="20"/>
        </w:rPr>
      </w:pPr>
      <w:r w:rsidRPr="00902667">
        <w:rPr>
          <w:sz w:val="20"/>
          <w:szCs w:val="20"/>
        </w:rPr>
        <w:t>Accredited separately by individual board (ABFM, ABPN, ABIM, ABP)</w:t>
      </w:r>
    </w:p>
    <w:p w14:paraId="06C3C22F" w14:textId="229CE0A5" w:rsidR="00B2126E" w:rsidRPr="00902667" w:rsidRDefault="00B2126E" w:rsidP="00B2126E">
      <w:pPr>
        <w:pStyle w:val="ListParagraph"/>
        <w:numPr>
          <w:ilvl w:val="2"/>
          <w:numId w:val="1"/>
        </w:numPr>
        <w:spacing w:after="0"/>
        <w:rPr>
          <w:rFonts w:hint="eastAsia"/>
          <w:sz w:val="20"/>
          <w:szCs w:val="20"/>
        </w:rPr>
      </w:pPr>
      <w:r w:rsidRPr="00902667">
        <w:rPr>
          <w:sz w:val="20"/>
          <w:szCs w:val="20"/>
        </w:rPr>
        <w:t>Medicine residencies tend to be focused on inpatient medicine and Family Medicine residencies tend to be focused on outpatient medicine</w:t>
      </w:r>
    </w:p>
    <w:p w14:paraId="40631D84" w14:textId="5E6DD653" w:rsidR="00B2126E" w:rsidRPr="00902667" w:rsidRDefault="00B2126E" w:rsidP="00B2126E">
      <w:pPr>
        <w:pStyle w:val="ListParagraph"/>
        <w:numPr>
          <w:ilvl w:val="2"/>
          <w:numId w:val="1"/>
        </w:numPr>
        <w:spacing w:after="0"/>
        <w:rPr>
          <w:rFonts w:hint="eastAsia"/>
          <w:sz w:val="20"/>
          <w:szCs w:val="20"/>
        </w:rPr>
      </w:pPr>
      <w:r w:rsidRPr="00902667">
        <w:rPr>
          <w:sz w:val="20"/>
          <w:szCs w:val="20"/>
        </w:rPr>
        <w:t xml:space="preserve">Residencies provide 12 months of continuous, supervised outpatient psychotherapy training. </w:t>
      </w:r>
    </w:p>
    <w:p w14:paraId="36C41CBF" w14:textId="4E57ED04" w:rsidR="00B2126E" w:rsidRPr="00902667" w:rsidRDefault="00B2126E" w:rsidP="00B2126E">
      <w:pPr>
        <w:pStyle w:val="ListParagraph"/>
        <w:numPr>
          <w:ilvl w:val="1"/>
          <w:numId w:val="1"/>
        </w:numPr>
        <w:spacing w:after="0"/>
        <w:rPr>
          <w:rFonts w:hint="eastAsia"/>
          <w:sz w:val="20"/>
          <w:szCs w:val="20"/>
        </w:rPr>
      </w:pPr>
      <w:r w:rsidRPr="00902667">
        <w:rPr>
          <w:sz w:val="20"/>
          <w:szCs w:val="20"/>
        </w:rPr>
        <w:t>Career Paths</w:t>
      </w:r>
    </w:p>
    <w:p w14:paraId="07E01AD7" w14:textId="38648A0F" w:rsidR="00B2126E" w:rsidRPr="00902667" w:rsidRDefault="00B2126E" w:rsidP="00B2126E">
      <w:pPr>
        <w:pStyle w:val="ListParagraph"/>
        <w:numPr>
          <w:ilvl w:val="2"/>
          <w:numId w:val="1"/>
        </w:numPr>
        <w:spacing w:after="0"/>
        <w:rPr>
          <w:rFonts w:hint="eastAsia"/>
          <w:sz w:val="20"/>
          <w:szCs w:val="20"/>
        </w:rPr>
      </w:pPr>
      <w:r w:rsidRPr="00902667">
        <w:rPr>
          <w:sz w:val="20"/>
          <w:szCs w:val="20"/>
        </w:rPr>
        <w:t xml:space="preserve">&gt;75% of graduates practice to some degree in both </w:t>
      </w:r>
      <w:r w:rsidR="00B7580B" w:rsidRPr="00902667">
        <w:rPr>
          <w:sz w:val="20"/>
          <w:szCs w:val="20"/>
        </w:rPr>
        <w:t>specialties</w:t>
      </w:r>
    </w:p>
    <w:p w14:paraId="43AFD090" w14:textId="77777777" w:rsidR="00B2126E" w:rsidRPr="00902667" w:rsidRDefault="00B2126E" w:rsidP="00B2126E">
      <w:pPr>
        <w:pStyle w:val="ListParagraph"/>
        <w:numPr>
          <w:ilvl w:val="2"/>
          <w:numId w:val="1"/>
        </w:numPr>
        <w:spacing w:after="0"/>
        <w:rPr>
          <w:rFonts w:hint="eastAsia"/>
          <w:sz w:val="20"/>
          <w:szCs w:val="20"/>
        </w:rPr>
      </w:pPr>
      <w:r w:rsidRPr="00902667">
        <w:rPr>
          <w:sz w:val="20"/>
          <w:szCs w:val="20"/>
        </w:rPr>
        <w:t>Graduates work in multiple arenas including academics, consultation-liaison psychiatrists, hospitalists, outpatient physicians, emergency psychiatrists, and fellowship-trained specialties including forensics, addictions, geriatrics, child psychiatrists</w:t>
      </w:r>
    </w:p>
    <w:p w14:paraId="1C8FA920" w14:textId="097CD979" w:rsidR="00B2126E" w:rsidRPr="00902667" w:rsidRDefault="00B2126E" w:rsidP="00B2126E">
      <w:pPr>
        <w:pStyle w:val="ListParagraph"/>
        <w:numPr>
          <w:ilvl w:val="2"/>
          <w:numId w:val="1"/>
        </w:numPr>
        <w:spacing w:after="0"/>
        <w:rPr>
          <w:rFonts w:hint="eastAsia"/>
          <w:sz w:val="20"/>
          <w:szCs w:val="20"/>
        </w:rPr>
      </w:pPr>
      <w:r w:rsidRPr="00902667">
        <w:rPr>
          <w:sz w:val="20"/>
          <w:szCs w:val="20"/>
        </w:rPr>
        <w:t xml:space="preserve">Dual-boarded &amp; Triple-boarded physicians provide unique teaching experiences to medical students and residents seeking </w:t>
      </w:r>
      <w:r w:rsidR="00412EE9">
        <w:rPr>
          <w:sz w:val="20"/>
          <w:szCs w:val="20"/>
        </w:rPr>
        <w:t xml:space="preserve">integrated care. </w:t>
      </w:r>
    </w:p>
    <w:p w14:paraId="63E3044B" w14:textId="77777777" w:rsidR="002C2FE6" w:rsidRDefault="000E0E7C" w:rsidP="002C2FE6">
      <w:pPr>
        <w:pStyle w:val="ListParagraph"/>
        <w:numPr>
          <w:ilvl w:val="0"/>
          <w:numId w:val="1"/>
        </w:numPr>
        <w:rPr>
          <w:rFonts w:hint="eastAsia"/>
          <w:sz w:val="20"/>
          <w:szCs w:val="20"/>
        </w:rPr>
      </w:pPr>
      <w:r w:rsidRPr="00902667">
        <w:rPr>
          <w:sz w:val="20"/>
          <w:szCs w:val="20"/>
        </w:rPr>
        <w:t>Mentoring Students Interested in Primary Care and/or Psychiatry</w:t>
      </w:r>
    </w:p>
    <w:p w14:paraId="20CC3AAD" w14:textId="77777777" w:rsidR="002C2FE6" w:rsidRPr="002C2FE6" w:rsidRDefault="002C2FE6" w:rsidP="002C2FE6">
      <w:pPr>
        <w:pStyle w:val="ListParagraph"/>
        <w:numPr>
          <w:ilvl w:val="1"/>
          <w:numId w:val="1"/>
        </w:numPr>
        <w:rPr>
          <w:rFonts w:hint="eastAsia"/>
          <w:sz w:val="20"/>
          <w:szCs w:val="20"/>
        </w:rPr>
      </w:pPr>
      <w:r w:rsidRPr="002C2FE6">
        <w:rPr>
          <w:rFonts w:cs="Arial"/>
          <w:sz w:val="20"/>
          <w:szCs w:val="20"/>
        </w:rPr>
        <w:t>Explore their perceived identity/goal as a ‘Medically Oriented Psychiatrist’ versus ‘Behaviorally Minded Family Physician’.   Identifying end goal helps determine most logical/efficient training path.</w:t>
      </w:r>
    </w:p>
    <w:p w14:paraId="1E5EA0A2" w14:textId="77777777" w:rsidR="002C2FE6" w:rsidRPr="002C2FE6" w:rsidRDefault="002C2FE6" w:rsidP="002C2FE6">
      <w:pPr>
        <w:pStyle w:val="ListParagraph"/>
        <w:numPr>
          <w:ilvl w:val="1"/>
          <w:numId w:val="1"/>
        </w:numPr>
        <w:rPr>
          <w:rFonts w:hint="eastAsia"/>
          <w:sz w:val="20"/>
          <w:szCs w:val="20"/>
        </w:rPr>
      </w:pPr>
      <w:r w:rsidRPr="002C2FE6">
        <w:rPr>
          <w:rFonts w:cs="Arial"/>
          <w:sz w:val="20"/>
          <w:szCs w:val="20"/>
        </w:rPr>
        <w:t>What is their ‘backup’ plan if not combined training?  Why did they pick that one?</w:t>
      </w:r>
    </w:p>
    <w:p w14:paraId="3B2669BA" w14:textId="77777777" w:rsidR="002C2FE6" w:rsidRPr="002C2FE6" w:rsidRDefault="002C2FE6" w:rsidP="002C2FE6">
      <w:pPr>
        <w:pStyle w:val="ListParagraph"/>
        <w:numPr>
          <w:ilvl w:val="1"/>
          <w:numId w:val="1"/>
        </w:numPr>
        <w:rPr>
          <w:rFonts w:hint="eastAsia"/>
          <w:sz w:val="20"/>
          <w:szCs w:val="20"/>
        </w:rPr>
      </w:pPr>
      <w:r w:rsidRPr="002C2FE6">
        <w:rPr>
          <w:rFonts w:cs="Arial"/>
          <w:sz w:val="20"/>
          <w:szCs w:val="20"/>
        </w:rPr>
        <w:t xml:space="preserve">Can you take </w:t>
      </w:r>
      <w:proofErr w:type="gramStart"/>
      <w:r w:rsidRPr="002C2FE6">
        <w:rPr>
          <w:rFonts w:cs="Arial"/>
          <w:sz w:val="20"/>
          <w:szCs w:val="20"/>
        </w:rPr>
        <w:t>a categorical</w:t>
      </w:r>
      <w:proofErr w:type="gramEnd"/>
      <w:r w:rsidRPr="002C2FE6">
        <w:rPr>
          <w:rFonts w:cs="Arial"/>
          <w:sz w:val="20"/>
          <w:szCs w:val="20"/>
        </w:rPr>
        <w:t xml:space="preserve"> program scaffolding and build your specific interest or experience into the training?</w:t>
      </w:r>
    </w:p>
    <w:p w14:paraId="03BC7BAA" w14:textId="77777777" w:rsidR="001A1170" w:rsidRPr="001A1170" w:rsidRDefault="001A1170" w:rsidP="002C2FE6">
      <w:pPr>
        <w:pStyle w:val="ListParagraph"/>
        <w:numPr>
          <w:ilvl w:val="1"/>
          <w:numId w:val="1"/>
        </w:numPr>
        <w:rPr>
          <w:rFonts w:hint="eastAsia"/>
          <w:sz w:val="20"/>
          <w:szCs w:val="20"/>
        </w:rPr>
      </w:pPr>
      <w:r>
        <w:rPr>
          <w:rFonts w:cs="Arial"/>
          <w:sz w:val="20"/>
          <w:szCs w:val="20"/>
        </w:rPr>
        <w:t>Obtaining a mentor</w:t>
      </w:r>
    </w:p>
    <w:p w14:paraId="000E5D36" w14:textId="77777777" w:rsidR="001A1170" w:rsidRPr="001A1170" w:rsidRDefault="002C2FE6" w:rsidP="001A1170">
      <w:pPr>
        <w:pStyle w:val="ListParagraph"/>
        <w:numPr>
          <w:ilvl w:val="2"/>
          <w:numId w:val="1"/>
        </w:numPr>
        <w:rPr>
          <w:rFonts w:hint="eastAsia"/>
          <w:sz w:val="20"/>
          <w:szCs w:val="20"/>
        </w:rPr>
      </w:pPr>
      <w:r w:rsidRPr="002C2FE6">
        <w:rPr>
          <w:rFonts w:cs="Arial"/>
          <w:sz w:val="20"/>
          <w:szCs w:val="20"/>
        </w:rPr>
        <w:t xml:space="preserve">  Hard to do if school does not have</w:t>
      </w:r>
      <w:r>
        <w:rPr>
          <w:rFonts w:cs="Arial"/>
          <w:sz w:val="20"/>
          <w:szCs w:val="20"/>
        </w:rPr>
        <w:t xml:space="preserve"> a combined program or a double-</w:t>
      </w:r>
      <w:r w:rsidRPr="002C2FE6">
        <w:rPr>
          <w:rFonts w:cs="Arial"/>
          <w:sz w:val="20"/>
          <w:szCs w:val="20"/>
        </w:rPr>
        <w:t xml:space="preserve">boarded faculty member. </w:t>
      </w:r>
    </w:p>
    <w:p w14:paraId="47AA40A3" w14:textId="421A8E66" w:rsidR="002C2FE6" w:rsidRPr="002C2FE6" w:rsidRDefault="002C2FE6" w:rsidP="001A1170">
      <w:pPr>
        <w:pStyle w:val="ListParagraph"/>
        <w:numPr>
          <w:ilvl w:val="2"/>
          <w:numId w:val="1"/>
        </w:numPr>
        <w:rPr>
          <w:rFonts w:hint="eastAsia"/>
          <w:sz w:val="20"/>
          <w:szCs w:val="20"/>
        </w:rPr>
      </w:pPr>
      <w:r w:rsidRPr="002C2FE6">
        <w:rPr>
          <w:rFonts w:cs="Arial"/>
          <w:sz w:val="20"/>
          <w:szCs w:val="20"/>
        </w:rPr>
        <w:t xml:space="preserve"> Can look to organizations such as Association of Medicine &amp; Psychiatry or one of the consultation liaison psychiatry meetings or this meeting to find like-minded individuals and opportunities to network.</w:t>
      </w:r>
    </w:p>
    <w:p w14:paraId="565E8617" w14:textId="77777777" w:rsidR="002C2FE6" w:rsidRPr="002C2FE6" w:rsidRDefault="002C2FE6" w:rsidP="002C2FE6">
      <w:pPr>
        <w:pStyle w:val="ListParagraph"/>
        <w:numPr>
          <w:ilvl w:val="1"/>
          <w:numId w:val="1"/>
        </w:numPr>
        <w:rPr>
          <w:rFonts w:hint="eastAsia"/>
          <w:sz w:val="20"/>
          <w:szCs w:val="20"/>
        </w:rPr>
      </w:pPr>
      <w:r w:rsidRPr="002C2FE6">
        <w:rPr>
          <w:rFonts w:cs="Arial"/>
          <w:sz w:val="20"/>
          <w:szCs w:val="20"/>
        </w:rPr>
        <w:t>Review of competitiveness given limited programs:</w:t>
      </w:r>
    </w:p>
    <w:p w14:paraId="31E63C4B" w14:textId="77777777" w:rsidR="002C2FE6" w:rsidRPr="002C2FE6" w:rsidRDefault="002C2FE6" w:rsidP="002C2FE6">
      <w:pPr>
        <w:pStyle w:val="ListParagraph"/>
        <w:numPr>
          <w:ilvl w:val="2"/>
          <w:numId w:val="1"/>
        </w:numPr>
        <w:rPr>
          <w:rFonts w:hint="eastAsia"/>
          <w:sz w:val="20"/>
          <w:szCs w:val="20"/>
        </w:rPr>
      </w:pPr>
      <w:r w:rsidRPr="002C2FE6">
        <w:rPr>
          <w:rFonts w:cs="Arial"/>
          <w:sz w:val="20"/>
          <w:szCs w:val="20"/>
        </w:rPr>
        <w:t>5 FMP programs with approximately 2 spots each year</w:t>
      </w:r>
    </w:p>
    <w:p w14:paraId="7F922705" w14:textId="3FBC1573" w:rsidR="002C2FE6" w:rsidRPr="001A1170" w:rsidRDefault="002C2FE6" w:rsidP="001A1170">
      <w:pPr>
        <w:pStyle w:val="ListParagraph"/>
        <w:numPr>
          <w:ilvl w:val="2"/>
          <w:numId w:val="1"/>
        </w:numPr>
        <w:rPr>
          <w:rFonts w:hint="eastAsia"/>
          <w:sz w:val="20"/>
          <w:szCs w:val="20"/>
        </w:rPr>
      </w:pPr>
      <w:r w:rsidRPr="002C2FE6">
        <w:rPr>
          <w:rFonts w:cs="Arial"/>
          <w:sz w:val="20"/>
          <w:szCs w:val="20"/>
        </w:rPr>
        <w:t>100 applicants (UC’s experience)</w:t>
      </w:r>
      <w:r w:rsidR="001A1170">
        <w:rPr>
          <w:rFonts w:cs="Arial"/>
          <w:sz w:val="20"/>
          <w:szCs w:val="20"/>
        </w:rPr>
        <w:t xml:space="preserve">, </w:t>
      </w:r>
      <w:r w:rsidRPr="001A1170">
        <w:rPr>
          <w:rFonts w:cs="Arial"/>
          <w:sz w:val="20"/>
          <w:szCs w:val="20"/>
        </w:rPr>
        <w:t>20 interviews (UC’s experience)</w:t>
      </w:r>
    </w:p>
    <w:p w14:paraId="6DBE6E45" w14:textId="7A158B75" w:rsidR="002C2FE6" w:rsidRPr="002C2FE6" w:rsidRDefault="002C2FE6" w:rsidP="002C2FE6">
      <w:pPr>
        <w:pStyle w:val="ListParagraph"/>
        <w:numPr>
          <w:ilvl w:val="1"/>
          <w:numId w:val="1"/>
        </w:numPr>
        <w:rPr>
          <w:rFonts w:hint="eastAsia"/>
          <w:sz w:val="20"/>
          <w:szCs w:val="20"/>
        </w:rPr>
      </w:pPr>
      <w:r w:rsidRPr="002C2FE6">
        <w:rPr>
          <w:rFonts w:cs="Arial"/>
          <w:sz w:val="20"/>
          <w:szCs w:val="20"/>
        </w:rPr>
        <w:t>Need to mention combined training in personal statement, need to have letters from both primary care and psychiatry, although end goal is obviously fluid we expect applicants to have thought about it, membership in organizations from both specialties, clinical experiences on both sides, p</w:t>
      </w:r>
      <w:r w:rsidR="001A1170">
        <w:rPr>
          <w:rFonts w:cs="Arial"/>
          <w:sz w:val="20"/>
          <w:szCs w:val="20"/>
        </w:rPr>
        <w:t>ublications/research are a plus.</w:t>
      </w:r>
    </w:p>
    <w:p w14:paraId="639271F8" w14:textId="3D994E3E" w:rsidR="002C2FE6" w:rsidRPr="002C2FE6" w:rsidRDefault="002C2FE6" w:rsidP="002C2FE6">
      <w:pPr>
        <w:pStyle w:val="ListParagraph"/>
        <w:numPr>
          <w:ilvl w:val="1"/>
          <w:numId w:val="1"/>
        </w:numPr>
        <w:rPr>
          <w:rFonts w:hint="eastAsia"/>
          <w:sz w:val="20"/>
          <w:szCs w:val="20"/>
        </w:rPr>
      </w:pPr>
      <w:r w:rsidRPr="002C2FE6">
        <w:rPr>
          <w:rFonts w:cs="Arial"/>
          <w:sz w:val="20"/>
          <w:szCs w:val="20"/>
        </w:rPr>
        <w:t>Audition electives – can be a huge factor because many schools do not have combined training or access to a double boarded mentor, most FMP programs offer medical student rotations such as AI’s, can be a chance to sample the program as well as present your qualifications to training leadership and residents, can go both ways though (impress beyond your paper credentials or the opposite) so only advise if serious about the program and capable of committing to a strong rotation performance</w:t>
      </w:r>
    </w:p>
    <w:p w14:paraId="3B31132D" w14:textId="77777777" w:rsidR="002C2FE6" w:rsidRDefault="002C2FE6" w:rsidP="002C2FE6">
      <w:pPr>
        <w:pStyle w:val="ListParagraph"/>
        <w:rPr>
          <w:rFonts w:cs="Arial" w:hint="eastAsia"/>
          <w:sz w:val="20"/>
          <w:szCs w:val="20"/>
        </w:rPr>
      </w:pPr>
    </w:p>
    <w:p w14:paraId="2793F61A" w14:textId="77777777" w:rsidR="001A1170" w:rsidRPr="002C2FE6" w:rsidRDefault="001A1170" w:rsidP="002C2FE6">
      <w:pPr>
        <w:pStyle w:val="ListParagraph"/>
        <w:rPr>
          <w:rFonts w:cs="Arial" w:hint="eastAsia"/>
          <w:sz w:val="20"/>
          <w:szCs w:val="20"/>
        </w:rPr>
      </w:pPr>
    </w:p>
    <w:tbl>
      <w:tblPr>
        <w:tblStyle w:val="TableGrid"/>
        <w:tblW w:w="0" w:type="auto"/>
        <w:tblLayout w:type="fixed"/>
        <w:tblLook w:val="04A0" w:firstRow="1" w:lastRow="0" w:firstColumn="1" w:lastColumn="0" w:noHBand="0" w:noVBand="1"/>
      </w:tblPr>
      <w:tblGrid>
        <w:gridCol w:w="1546"/>
        <w:gridCol w:w="2353"/>
        <w:gridCol w:w="2403"/>
        <w:gridCol w:w="2554"/>
      </w:tblGrid>
      <w:tr w:rsidR="002C2FE6" w:rsidRPr="00902667" w14:paraId="6BBE2B5A" w14:textId="77777777" w:rsidTr="001A1170">
        <w:tc>
          <w:tcPr>
            <w:tcW w:w="1546" w:type="dxa"/>
            <w:vAlign w:val="center"/>
          </w:tcPr>
          <w:p w14:paraId="64B977C4" w14:textId="77777777" w:rsidR="002C2FE6" w:rsidRPr="00902667" w:rsidRDefault="002C2FE6" w:rsidP="002C2FE6">
            <w:pPr>
              <w:jc w:val="center"/>
              <w:rPr>
                <w:rFonts w:cs="Arial"/>
                <w:b/>
                <w:sz w:val="20"/>
                <w:szCs w:val="20"/>
              </w:rPr>
            </w:pPr>
            <w:r w:rsidRPr="00902667">
              <w:rPr>
                <w:rFonts w:cs="Arial"/>
                <w:b/>
                <w:sz w:val="20"/>
                <w:szCs w:val="20"/>
              </w:rPr>
              <w:t>Consideration</w:t>
            </w:r>
          </w:p>
        </w:tc>
        <w:tc>
          <w:tcPr>
            <w:tcW w:w="2353" w:type="dxa"/>
            <w:vAlign w:val="center"/>
          </w:tcPr>
          <w:p w14:paraId="3A3492EA" w14:textId="77777777" w:rsidR="002C2FE6" w:rsidRPr="00902667" w:rsidRDefault="002C2FE6" w:rsidP="002C2FE6">
            <w:pPr>
              <w:jc w:val="center"/>
              <w:rPr>
                <w:rFonts w:cs="Arial"/>
                <w:b/>
                <w:sz w:val="20"/>
                <w:szCs w:val="20"/>
              </w:rPr>
            </w:pPr>
            <w:r w:rsidRPr="00902667">
              <w:rPr>
                <w:rFonts w:cs="Arial"/>
                <w:b/>
                <w:sz w:val="20"/>
                <w:szCs w:val="20"/>
              </w:rPr>
              <w:t>Psychiatry</w:t>
            </w:r>
          </w:p>
        </w:tc>
        <w:tc>
          <w:tcPr>
            <w:tcW w:w="2403" w:type="dxa"/>
            <w:vAlign w:val="center"/>
          </w:tcPr>
          <w:p w14:paraId="0DF4E664" w14:textId="77777777" w:rsidR="002C2FE6" w:rsidRPr="00902667" w:rsidRDefault="002C2FE6" w:rsidP="002C2FE6">
            <w:pPr>
              <w:jc w:val="center"/>
              <w:rPr>
                <w:rFonts w:cs="Arial"/>
                <w:b/>
                <w:sz w:val="20"/>
                <w:szCs w:val="20"/>
              </w:rPr>
            </w:pPr>
            <w:r w:rsidRPr="00902667">
              <w:rPr>
                <w:rFonts w:cs="Arial"/>
                <w:b/>
                <w:sz w:val="20"/>
                <w:szCs w:val="20"/>
              </w:rPr>
              <w:t>Family Medicine</w:t>
            </w:r>
          </w:p>
        </w:tc>
        <w:tc>
          <w:tcPr>
            <w:tcW w:w="2554" w:type="dxa"/>
            <w:vAlign w:val="center"/>
          </w:tcPr>
          <w:p w14:paraId="07373378" w14:textId="77777777" w:rsidR="002C2FE6" w:rsidRPr="00902667" w:rsidRDefault="002C2FE6" w:rsidP="002C2FE6">
            <w:pPr>
              <w:jc w:val="center"/>
              <w:rPr>
                <w:rFonts w:cs="Arial"/>
                <w:b/>
                <w:sz w:val="20"/>
                <w:szCs w:val="20"/>
              </w:rPr>
            </w:pPr>
            <w:r w:rsidRPr="00902667">
              <w:rPr>
                <w:rFonts w:cs="Arial"/>
                <w:b/>
                <w:sz w:val="20"/>
                <w:szCs w:val="20"/>
              </w:rPr>
              <w:t>Internal Medicine</w:t>
            </w:r>
          </w:p>
        </w:tc>
      </w:tr>
      <w:tr w:rsidR="002C2FE6" w:rsidRPr="00902667" w14:paraId="1EDB7604" w14:textId="77777777" w:rsidTr="001A1170">
        <w:tc>
          <w:tcPr>
            <w:tcW w:w="1546" w:type="dxa"/>
            <w:vAlign w:val="center"/>
          </w:tcPr>
          <w:p w14:paraId="799214B4" w14:textId="77777777" w:rsidR="002C2FE6" w:rsidRPr="00902667" w:rsidRDefault="002C2FE6" w:rsidP="002C2FE6">
            <w:pPr>
              <w:jc w:val="center"/>
              <w:rPr>
                <w:rFonts w:cs="Arial"/>
                <w:i/>
                <w:sz w:val="20"/>
                <w:szCs w:val="20"/>
              </w:rPr>
            </w:pPr>
            <w:r w:rsidRPr="00902667">
              <w:rPr>
                <w:rFonts w:cs="Arial"/>
                <w:i/>
                <w:sz w:val="20"/>
                <w:szCs w:val="20"/>
              </w:rPr>
              <w:t>Pharmacology</w:t>
            </w:r>
          </w:p>
        </w:tc>
        <w:tc>
          <w:tcPr>
            <w:tcW w:w="2353" w:type="dxa"/>
          </w:tcPr>
          <w:p w14:paraId="743124B7" w14:textId="77777777" w:rsidR="002C2FE6" w:rsidRPr="00902667" w:rsidRDefault="002C2FE6" w:rsidP="002C2FE6">
            <w:pPr>
              <w:rPr>
                <w:rFonts w:cs="Arial"/>
                <w:sz w:val="20"/>
                <w:szCs w:val="20"/>
              </w:rPr>
            </w:pPr>
            <w:r w:rsidRPr="00902667">
              <w:rPr>
                <w:rFonts w:cs="Arial"/>
                <w:sz w:val="20"/>
                <w:szCs w:val="20"/>
              </w:rPr>
              <w:t xml:space="preserve">More exposure to lithium, </w:t>
            </w:r>
            <w:r w:rsidRPr="00902667">
              <w:rPr>
                <w:rFonts w:cs="Arial"/>
                <w:sz w:val="20"/>
                <w:szCs w:val="20"/>
              </w:rPr>
              <w:lastRenderedPageBreak/>
              <w:t>mood stabilizers, depot formulations, pediatrics</w:t>
            </w:r>
          </w:p>
        </w:tc>
        <w:tc>
          <w:tcPr>
            <w:tcW w:w="2403" w:type="dxa"/>
          </w:tcPr>
          <w:p w14:paraId="1C5A6CE7" w14:textId="77777777" w:rsidR="002C2FE6" w:rsidRPr="00902667" w:rsidRDefault="002C2FE6" w:rsidP="002C2FE6">
            <w:pPr>
              <w:rPr>
                <w:rFonts w:cs="Arial"/>
                <w:sz w:val="20"/>
                <w:szCs w:val="20"/>
              </w:rPr>
            </w:pPr>
            <w:r w:rsidRPr="00902667">
              <w:rPr>
                <w:rFonts w:cs="Arial"/>
                <w:sz w:val="20"/>
                <w:szCs w:val="20"/>
              </w:rPr>
              <w:lastRenderedPageBreak/>
              <w:t xml:space="preserve">More comfort outside of </w:t>
            </w:r>
            <w:r w:rsidRPr="00902667">
              <w:rPr>
                <w:rFonts w:cs="Arial"/>
                <w:sz w:val="20"/>
                <w:szCs w:val="20"/>
              </w:rPr>
              <w:lastRenderedPageBreak/>
              <w:t>pure psych drugs, exposure in OB settings, ADHD management</w:t>
            </w:r>
          </w:p>
        </w:tc>
        <w:tc>
          <w:tcPr>
            <w:tcW w:w="2554" w:type="dxa"/>
          </w:tcPr>
          <w:p w14:paraId="5410AD76" w14:textId="77777777" w:rsidR="002C2FE6" w:rsidRPr="00902667" w:rsidRDefault="002C2FE6" w:rsidP="002C2FE6">
            <w:pPr>
              <w:rPr>
                <w:rFonts w:cs="Arial"/>
                <w:sz w:val="20"/>
                <w:szCs w:val="20"/>
              </w:rPr>
            </w:pPr>
            <w:r w:rsidRPr="00902667">
              <w:rPr>
                <w:rFonts w:cs="Arial"/>
                <w:sz w:val="20"/>
                <w:szCs w:val="20"/>
              </w:rPr>
              <w:lastRenderedPageBreak/>
              <w:t xml:space="preserve">Same as family with broad </w:t>
            </w:r>
            <w:r w:rsidRPr="00902667">
              <w:rPr>
                <w:rFonts w:cs="Arial"/>
                <w:sz w:val="20"/>
                <w:szCs w:val="20"/>
              </w:rPr>
              <w:lastRenderedPageBreak/>
              <w:t>medicine exposure, but NO OB and less ADHD due to no pediatrics</w:t>
            </w:r>
          </w:p>
        </w:tc>
      </w:tr>
      <w:tr w:rsidR="002C2FE6" w:rsidRPr="00902667" w14:paraId="0C7D2938" w14:textId="77777777" w:rsidTr="001A1170">
        <w:tc>
          <w:tcPr>
            <w:tcW w:w="1546" w:type="dxa"/>
            <w:vAlign w:val="center"/>
          </w:tcPr>
          <w:p w14:paraId="644B2B60" w14:textId="77777777" w:rsidR="002C2FE6" w:rsidRPr="00902667" w:rsidRDefault="002C2FE6" w:rsidP="002C2FE6">
            <w:pPr>
              <w:jc w:val="center"/>
              <w:rPr>
                <w:rFonts w:cs="Arial"/>
                <w:i/>
                <w:sz w:val="20"/>
                <w:szCs w:val="20"/>
              </w:rPr>
            </w:pPr>
            <w:r w:rsidRPr="00902667">
              <w:rPr>
                <w:rFonts w:cs="Arial"/>
                <w:i/>
                <w:sz w:val="20"/>
                <w:szCs w:val="20"/>
              </w:rPr>
              <w:lastRenderedPageBreak/>
              <w:t>Therapy</w:t>
            </w:r>
          </w:p>
        </w:tc>
        <w:tc>
          <w:tcPr>
            <w:tcW w:w="2353" w:type="dxa"/>
          </w:tcPr>
          <w:p w14:paraId="32CBFD5C" w14:textId="77777777" w:rsidR="002C2FE6" w:rsidRPr="00902667" w:rsidRDefault="002C2FE6" w:rsidP="002C2FE6">
            <w:pPr>
              <w:rPr>
                <w:rFonts w:cs="Arial"/>
                <w:sz w:val="20"/>
                <w:szCs w:val="20"/>
              </w:rPr>
            </w:pPr>
            <w:r w:rsidRPr="00902667">
              <w:rPr>
                <w:rFonts w:cs="Arial"/>
                <w:sz w:val="20"/>
                <w:szCs w:val="20"/>
              </w:rPr>
              <w:t>More contact and skill development time over the required 12 month continuous outpatient experience; practical realities of less physician contact time for therapy</w:t>
            </w:r>
          </w:p>
        </w:tc>
        <w:tc>
          <w:tcPr>
            <w:tcW w:w="2403" w:type="dxa"/>
          </w:tcPr>
          <w:p w14:paraId="56C37315" w14:textId="0516E895" w:rsidR="002C2FE6" w:rsidRPr="00902667" w:rsidRDefault="002C2FE6" w:rsidP="002C2FE6">
            <w:pPr>
              <w:rPr>
                <w:rFonts w:cs="Arial"/>
                <w:sz w:val="20"/>
                <w:szCs w:val="20"/>
              </w:rPr>
            </w:pPr>
            <w:r w:rsidRPr="00902667">
              <w:rPr>
                <w:rFonts w:cs="Arial"/>
                <w:sz w:val="20"/>
                <w:szCs w:val="20"/>
              </w:rPr>
              <w:t>Able to do brief interventions or spend some elective time focusing on specific modalities such as motivational interviewing; behavi</w:t>
            </w:r>
            <w:r w:rsidR="001A1170">
              <w:rPr>
                <w:rFonts w:cs="Arial"/>
                <w:sz w:val="20"/>
                <w:szCs w:val="20"/>
              </w:rPr>
              <w:t>oral science faculty teaching</w:t>
            </w:r>
          </w:p>
        </w:tc>
        <w:tc>
          <w:tcPr>
            <w:tcW w:w="2554" w:type="dxa"/>
          </w:tcPr>
          <w:p w14:paraId="2322E378" w14:textId="77777777" w:rsidR="002C2FE6" w:rsidRPr="00902667" w:rsidRDefault="002C2FE6" w:rsidP="002C2FE6">
            <w:pPr>
              <w:rPr>
                <w:rFonts w:cs="Arial"/>
                <w:sz w:val="20"/>
                <w:szCs w:val="20"/>
              </w:rPr>
            </w:pPr>
            <w:r w:rsidRPr="00902667">
              <w:rPr>
                <w:rFonts w:cs="Arial"/>
                <w:sz w:val="20"/>
                <w:szCs w:val="20"/>
              </w:rPr>
              <w:t>Same as family in having to spend elective time, need to focus on 15 minute based interventions; no required behavioral health science faculty</w:t>
            </w:r>
          </w:p>
        </w:tc>
      </w:tr>
      <w:tr w:rsidR="002C2FE6" w:rsidRPr="00902667" w14:paraId="283065BE" w14:textId="77777777" w:rsidTr="001A1170">
        <w:tc>
          <w:tcPr>
            <w:tcW w:w="1546" w:type="dxa"/>
            <w:vAlign w:val="center"/>
          </w:tcPr>
          <w:p w14:paraId="38A30CC8" w14:textId="77777777" w:rsidR="002C2FE6" w:rsidRPr="00902667" w:rsidRDefault="002C2FE6" w:rsidP="002C2FE6">
            <w:pPr>
              <w:jc w:val="center"/>
              <w:rPr>
                <w:rFonts w:cs="Arial"/>
                <w:i/>
                <w:sz w:val="20"/>
                <w:szCs w:val="20"/>
              </w:rPr>
            </w:pPr>
            <w:r w:rsidRPr="00902667">
              <w:rPr>
                <w:rFonts w:cs="Arial"/>
                <w:i/>
                <w:sz w:val="20"/>
                <w:szCs w:val="20"/>
              </w:rPr>
              <w:t>Pathology</w:t>
            </w:r>
          </w:p>
        </w:tc>
        <w:tc>
          <w:tcPr>
            <w:tcW w:w="2353" w:type="dxa"/>
          </w:tcPr>
          <w:p w14:paraId="622E1A6A" w14:textId="77777777" w:rsidR="002C2FE6" w:rsidRPr="00902667" w:rsidRDefault="002C2FE6" w:rsidP="002C2FE6">
            <w:pPr>
              <w:rPr>
                <w:rFonts w:cs="Arial"/>
                <w:sz w:val="20"/>
                <w:szCs w:val="20"/>
              </w:rPr>
            </w:pPr>
            <w:r w:rsidRPr="00902667">
              <w:rPr>
                <w:rFonts w:cs="Arial"/>
                <w:sz w:val="20"/>
                <w:szCs w:val="20"/>
              </w:rPr>
              <w:t>Extensive time spent on inpatient with the severely mentally ill and less time with more functional individuals</w:t>
            </w:r>
          </w:p>
        </w:tc>
        <w:tc>
          <w:tcPr>
            <w:tcW w:w="2403" w:type="dxa"/>
          </w:tcPr>
          <w:p w14:paraId="1DB83278" w14:textId="77777777" w:rsidR="002C2FE6" w:rsidRPr="00902667" w:rsidRDefault="002C2FE6" w:rsidP="002C2FE6">
            <w:pPr>
              <w:rPr>
                <w:rFonts w:cs="Arial"/>
                <w:sz w:val="20"/>
                <w:szCs w:val="20"/>
              </w:rPr>
            </w:pPr>
            <w:r w:rsidRPr="00902667">
              <w:rPr>
                <w:rFonts w:cs="Arial"/>
                <w:sz w:val="20"/>
                <w:szCs w:val="20"/>
              </w:rPr>
              <w:t>Primary population is depressed or anxious, may have limited experience with more psychotic presentations</w:t>
            </w:r>
          </w:p>
        </w:tc>
        <w:tc>
          <w:tcPr>
            <w:tcW w:w="2554" w:type="dxa"/>
          </w:tcPr>
          <w:p w14:paraId="3E74F6E4" w14:textId="77777777" w:rsidR="002C2FE6" w:rsidRPr="00902667" w:rsidRDefault="002C2FE6" w:rsidP="002C2FE6">
            <w:pPr>
              <w:rPr>
                <w:rFonts w:cs="Arial"/>
                <w:sz w:val="20"/>
                <w:szCs w:val="20"/>
              </w:rPr>
            </w:pPr>
            <w:r w:rsidRPr="00902667">
              <w:rPr>
                <w:rFonts w:cs="Arial"/>
                <w:sz w:val="20"/>
                <w:szCs w:val="20"/>
              </w:rPr>
              <w:t>Primary population is depressed or anxious, may have limited experience with more psychotic presentations</w:t>
            </w:r>
          </w:p>
        </w:tc>
      </w:tr>
      <w:tr w:rsidR="002C2FE6" w:rsidRPr="00902667" w14:paraId="2E37987B" w14:textId="77777777" w:rsidTr="001A1170">
        <w:tc>
          <w:tcPr>
            <w:tcW w:w="1546" w:type="dxa"/>
            <w:vAlign w:val="center"/>
          </w:tcPr>
          <w:p w14:paraId="63BBE67D" w14:textId="77777777" w:rsidR="002C2FE6" w:rsidRPr="00902667" w:rsidRDefault="002C2FE6" w:rsidP="002C2FE6">
            <w:pPr>
              <w:jc w:val="center"/>
              <w:rPr>
                <w:rFonts w:cs="Arial"/>
                <w:i/>
                <w:sz w:val="20"/>
                <w:szCs w:val="20"/>
              </w:rPr>
            </w:pPr>
            <w:r w:rsidRPr="00902667">
              <w:rPr>
                <w:rFonts w:cs="Arial"/>
                <w:i/>
                <w:sz w:val="20"/>
                <w:szCs w:val="20"/>
              </w:rPr>
              <w:t>Training</w:t>
            </w:r>
          </w:p>
        </w:tc>
        <w:tc>
          <w:tcPr>
            <w:tcW w:w="2353" w:type="dxa"/>
          </w:tcPr>
          <w:p w14:paraId="3A8639A7" w14:textId="77777777" w:rsidR="002C2FE6" w:rsidRPr="00902667" w:rsidRDefault="002C2FE6" w:rsidP="002C2FE6">
            <w:pPr>
              <w:rPr>
                <w:rFonts w:cs="Arial"/>
                <w:sz w:val="20"/>
                <w:szCs w:val="20"/>
              </w:rPr>
            </w:pPr>
            <w:r w:rsidRPr="00902667">
              <w:rPr>
                <w:rFonts w:cs="Arial"/>
                <w:sz w:val="20"/>
                <w:szCs w:val="20"/>
              </w:rPr>
              <w:t>4 years; includes substance abuse &amp; neurology</w:t>
            </w:r>
          </w:p>
        </w:tc>
        <w:tc>
          <w:tcPr>
            <w:tcW w:w="2403" w:type="dxa"/>
          </w:tcPr>
          <w:p w14:paraId="4A5E9941" w14:textId="77777777" w:rsidR="002C2FE6" w:rsidRPr="00902667" w:rsidRDefault="002C2FE6" w:rsidP="002C2FE6">
            <w:pPr>
              <w:rPr>
                <w:rFonts w:cs="Arial"/>
                <w:sz w:val="20"/>
                <w:szCs w:val="20"/>
              </w:rPr>
            </w:pPr>
            <w:r w:rsidRPr="00902667">
              <w:rPr>
                <w:rFonts w:cs="Arial"/>
                <w:sz w:val="20"/>
                <w:szCs w:val="20"/>
              </w:rPr>
              <w:t>3 years, one required month of behavioral science</w:t>
            </w:r>
          </w:p>
        </w:tc>
        <w:tc>
          <w:tcPr>
            <w:tcW w:w="2554" w:type="dxa"/>
          </w:tcPr>
          <w:p w14:paraId="2A2A276F" w14:textId="77777777" w:rsidR="002C2FE6" w:rsidRPr="00902667" w:rsidRDefault="002C2FE6" w:rsidP="002C2FE6">
            <w:pPr>
              <w:rPr>
                <w:rFonts w:cs="Arial"/>
                <w:sz w:val="20"/>
                <w:szCs w:val="20"/>
              </w:rPr>
            </w:pPr>
            <w:r w:rsidRPr="00902667">
              <w:rPr>
                <w:rFonts w:cs="Arial"/>
                <w:sz w:val="20"/>
                <w:szCs w:val="20"/>
              </w:rPr>
              <w:t>3 years</w:t>
            </w:r>
          </w:p>
        </w:tc>
      </w:tr>
      <w:tr w:rsidR="002C2FE6" w:rsidRPr="00902667" w14:paraId="5FE5554C" w14:textId="77777777" w:rsidTr="001A1170">
        <w:tc>
          <w:tcPr>
            <w:tcW w:w="1546" w:type="dxa"/>
            <w:vAlign w:val="center"/>
          </w:tcPr>
          <w:p w14:paraId="25E16148" w14:textId="77777777" w:rsidR="002C2FE6" w:rsidRPr="00902667" w:rsidRDefault="002C2FE6" w:rsidP="002C2FE6">
            <w:pPr>
              <w:jc w:val="center"/>
              <w:rPr>
                <w:rFonts w:cs="Arial"/>
                <w:i/>
                <w:sz w:val="20"/>
                <w:szCs w:val="20"/>
              </w:rPr>
            </w:pPr>
            <w:r w:rsidRPr="00902667">
              <w:rPr>
                <w:rFonts w:cs="Arial"/>
                <w:i/>
                <w:sz w:val="20"/>
                <w:szCs w:val="20"/>
              </w:rPr>
              <w:t>Fellowship Opportunities</w:t>
            </w:r>
          </w:p>
        </w:tc>
        <w:tc>
          <w:tcPr>
            <w:tcW w:w="2353" w:type="dxa"/>
          </w:tcPr>
          <w:p w14:paraId="525DBC48" w14:textId="475501D8" w:rsidR="002C2FE6" w:rsidRPr="00902667" w:rsidRDefault="002C2FE6" w:rsidP="002C2FE6">
            <w:pPr>
              <w:rPr>
                <w:rFonts w:cs="Arial"/>
                <w:sz w:val="20"/>
                <w:szCs w:val="20"/>
              </w:rPr>
            </w:pPr>
            <w:r w:rsidRPr="00902667">
              <w:rPr>
                <w:rFonts w:cs="Arial"/>
                <w:sz w:val="20"/>
                <w:szCs w:val="20"/>
              </w:rPr>
              <w:t xml:space="preserve">Many ACGME accredited in forensics, geriatrics, pain management, sleep, psychosomatics </w:t>
            </w:r>
            <w:r w:rsidR="00B7580B" w:rsidRPr="00902667">
              <w:rPr>
                <w:rFonts w:cs="Arial"/>
                <w:sz w:val="20"/>
                <w:szCs w:val="20"/>
              </w:rPr>
              <w:t>etc.</w:t>
            </w:r>
          </w:p>
        </w:tc>
        <w:tc>
          <w:tcPr>
            <w:tcW w:w="2403" w:type="dxa"/>
          </w:tcPr>
          <w:p w14:paraId="710CE7AD" w14:textId="77777777" w:rsidR="002C2FE6" w:rsidRPr="00902667" w:rsidRDefault="002C2FE6" w:rsidP="002C2FE6">
            <w:pPr>
              <w:rPr>
                <w:rFonts w:cs="Arial"/>
                <w:sz w:val="20"/>
                <w:szCs w:val="20"/>
              </w:rPr>
            </w:pPr>
            <w:r w:rsidRPr="00902667">
              <w:rPr>
                <w:rFonts w:cs="Arial"/>
                <w:sz w:val="20"/>
                <w:szCs w:val="20"/>
              </w:rPr>
              <w:t>Some CAQs (maternity, geriatrics, palliative care) and some informal (faculty development) but emphasis is on generalist approach</w:t>
            </w:r>
          </w:p>
        </w:tc>
        <w:tc>
          <w:tcPr>
            <w:tcW w:w="2554" w:type="dxa"/>
          </w:tcPr>
          <w:p w14:paraId="1720C9AB" w14:textId="11382AA3" w:rsidR="002C2FE6" w:rsidRPr="00902667" w:rsidRDefault="002C2FE6" w:rsidP="001A1170">
            <w:pPr>
              <w:rPr>
                <w:rFonts w:cs="Arial"/>
                <w:sz w:val="20"/>
                <w:szCs w:val="20"/>
              </w:rPr>
            </w:pPr>
            <w:r w:rsidRPr="00902667">
              <w:rPr>
                <w:rFonts w:cs="Arial"/>
                <w:sz w:val="20"/>
                <w:szCs w:val="20"/>
              </w:rPr>
              <w:t xml:space="preserve">Many ACGME accredited in medical specialties if potential desire for focusing on a single disease process or advanced training </w:t>
            </w:r>
          </w:p>
        </w:tc>
      </w:tr>
      <w:tr w:rsidR="002C2FE6" w:rsidRPr="00902667" w14:paraId="1F7040A9" w14:textId="77777777" w:rsidTr="001A1170">
        <w:tc>
          <w:tcPr>
            <w:tcW w:w="1546" w:type="dxa"/>
            <w:vAlign w:val="center"/>
          </w:tcPr>
          <w:p w14:paraId="7C063CF1" w14:textId="77777777" w:rsidR="002C2FE6" w:rsidRPr="00902667" w:rsidRDefault="002C2FE6" w:rsidP="002C2FE6">
            <w:pPr>
              <w:jc w:val="center"/>
              <w:rPr>
                <w:rFonts w:cs="Arial"/>
                <w:i/>
                <w:sz w:val="20"/>
                <w:szCs w:val="20"/>
              </w:rPr>
            </w:pPr>
            <w:r w:rsidRPr="00902667">
              <w:rPr>
                <w:rFonts w:cs="Arial"/>
                <w:i/>
                <w:sz w:val="20"/>
                <w:szCs w:val="20"/>
              </w:rPr>
              <w:t>Lifestyle</w:t>
            </w:r>
          </w:p>
        </w:tc>
        <w:tc>
          <w:tcPr>
            <w:tcW w:w="2353" w:type="dxa"/>
          </w:tcPr>
          <w:p w14:paraId="165CDED1" w14:textId="77777777" w:rsidR="002C2FE6" w:rsidRPr="00902667" w:rsidRDefault="002C2FE6" w:rsidP="002C2FE6">
            <w:pPr>
              <w:rPr>
                <w:rFonts w:cs="Arial"/>
                <w:sz w:val="20"/>
                <w:szCs w:val="20"/>
              </w:rPr>
            </w:pPr>
            <w:r w:rsidRPr="00902667">
              <w:rPr>
                <w:rFonts w:cs="Arial"/>
                <w:sz w:val="20"/>
                <w:szCs w:val="20"/>
              </w:rPr>
              <w:t>Work day, Salary, practice settings/business model</w:t>
            </w:r>
          </w:p>
        </w:tc>
        <w:tc>
          <w:tcPr>
            <w:tcW w:w="2403" w:type="dxa"/>
          </w:tcPr>
          <w:p w14:paraId="03DCB5BF" w14:textId="412706AE" w:rsidR="002C2FE6" w:rsidRPr="00902667" w:rsidRDefault="001A1170" w:rsidP="002C2FE6">
            <w:pPr>
              <w:rPr>
                <w:rFonts w:cs="Arial"/>
                <w:sz w:val="20"/>
                <w:szCs w:val="20"/>
              </w:rPr>
            </w:pPr>
            <w:r>
              <w:rPr>
                <w:rFonts w:cs="Arial"/>
                <w:sz w:val="20"/>
                <w:szCs w:val="20"/>
              </w:rPr>
              <w:t xml:space="preserve">Work day, salary, practice </w:t>
            </w:r>
            <w:r w:rsidR="002C2FE6" w:rsidRPr="00902667">
              <w:rPr>
                <w:rFonts w:cs="Arial"/>
                <w:sz w:val="20"/>
                <w:szCs w:val="20"/>
              </w:rPr>
              <w:t>settings/business model</w:t>
            </w:r>
          </w:p>
        </w:tc>
        <w:tc>
          <w:tcPr>
            <w:tcW w:w="2554" w:type="dxa"/>
          </w:tcPr>
          <w:p w14:paraId="45350E3E" w14:textId="77777777" w:rsidR="002C2FE6" w:rsidRPr="00902667" w:rsidRDefault="002C2FE6" w:rsidP="002C2FE6">
            <w:pPr>
              <w:rPr>
                <w:rFonts w:cs="Arial"/>
                <w:sz w:val="20"/>
                <w:szCs w:val="20"/>
              </w:rPr>
            </w:pPr>
            <w:r w:rsidRPr="00902667">
              <w:rPr>
                <w:rFonts w:cs="Arial"/>
                <w:sz w:val="20"/>
                <w:szCs w:val="20"/>
              </w:rPr>
              <w:t>Work day, salary, practice settings/business model</w:t>
            </w:r>
          </w:p>
        </w:tc>
      </w:tr>
      <w:tr w:rsidR="002C2FE6" w:rsidRPr="00902667" w14:paraId="6CE23D3E" w14:textId="77777777" w:rsidTr="001A1170">
        <w:tc>
          <w:tcPr>
            <w:tcW w:w="1546" w:type="dxa"/>
            <w:vAlign w:val="center"/>
          </w:tcPr>
          <w:p w14:paraId="306D4898" w14:textId="77777777" w:rsidR="002C2FE6" w:rsidRPr="00902667" w:rsidRDefault="002C2FE6" w:rsidP="002C2FE6">
            <w:pPr>
              <w:jc w:val="center"/>
              <w:rPr>
                <w:rFonts w:cs="Arial"/>
                <w:i/>
                <w:sz w:val="20"/>
                <w:szCs w:val="20"/>
              </w:rPr>
            </w:pPr>
            <w:r w:rsidRPr="00902667">
              <w:rPr>
                <w:rFonts w:cs="Arial"/>
                <w:i/>
                <w:sz w:val="20"/>
                <w:szCs w:val="20"/>
              </w:rPr>
              <w:t>Licensing Issues</w:t>
            </w:r>
          </w:p>
        </w:tc>
        <w:tc>
          <w:tcPr>
            <w:tcW w:w="2353" w:type="dxa"/>
          </w:tcPr>
          <w:p w14:paraId="6B86C7B5" w14:textId="77777777" w:rsidR="002C2FE6" w:rsidRPr="00902667" w:rsidRDefault="002C2FE6" w:rsidP="002C2FE6">
            <w:pPr>
              <w:rPr>
                <w:rFonts w:cs="Arial"/>
                <w:sz w:val="20"/>
                <w:szCs w:val="20"/>
              </w:rPr>
            </w:pPr>
            <w:r w:rsidRPr="00902667">
              <w:rPr>
                <w:rFonts w:cs="Arial"/>
                <w:sz w:val="20"/>
                <w:szCs w:val="20"/>
              </w:rPr>
              <w:t>ECT privileges, Court, emerging standard of care for medical but primarily limited to mental health</w:t>
            </w:r>
          </w:p>
        </w:tc>
        <w:tc>
          <w:tcPr>
            <w:tcW w:w="2403" w:type="dxa"/>
          </w:tcPr>
          <w:p w14:paraId="2CA85873" w14:textId="77777777" w:rsidR="002C2FE6" w:rsidRPr="00902667" w:rsidRDefault="002C2FE6" w:rsidP="002C2FE6">
            <w:pPr>
              <w:rPr>
                <w:rFonts w:cs="Arial"/>
                <w:sz w:val="20"/>
                <w:szCs w:val="20"/>
              </w:rPr>
            </w:pPr>
            <w:r w:rsidRPr="00902667">
              <w:rPr>
                <w:rFonts w:cs="Arial"/>
                <w:sz w:val="20"/>
                <w:szCs w:val="20"/>
              </w:rPr>
              <w:t>Formulary issues, ability to do more with general FP license</w:t>
            </w:r>
          </w:p>
        </w:tc>
        <w:tc>
          <w:tcPr>
            <w:tcW w:w="2554" w:type="dxa"/>
          </w:tcPr>
          <w:p w14:paraId="51560A9E" w14:textId="77777777" w:rsidR="002C2FE6" w:rsidRPr="00902667" w:rsidRDefault="002C2FE6" w:rsidP="002C2FE6">
            <w:pPr>
              <w:rPr>
                <w:rFonts w:cs="Arial"/>
                <w:sz w:val="20"/>
                <w:szCs w:val="20"/>
              </w:rPr>
            </w:pPr>
            <w:r w:rsidRPr="00902667">
              <w:rPr>
                <w:rFonts w:cs="Arial"/>
                <w:sz w:val="20"/>
                <w:szCs w:val="20"/>
              </w:rPr>
              <w:t>Formulary issues, ability to do more with general IM license</w:t>
            </w:r>
          </w:p>
        </w:tc>
      </w:tr>
    </w:tbl>
    <w:p w14:paraId="5B9822C4" w14:textId="77777777" w:rsidR="002C2FE6" w:rsidRPr="002C2FE6" w:rsidRDefault="002C2FE6" w:rsidP="002C2FE6">
      <w:pPr>
        <w:pStyle w:val="ListParagraph"/>
        <w:rPr>
          <w:rFonts w:cs="Arial" w:hint="eastAsia"/>
          <w:sz w:val="20"/>
          <w:szCs w:val="20"/>
        </w:rPr>
      </w:pPr>
    </w:p>
    <w:p w14:paraId="4A2D6506" w14:textId="77777777" w:rsidR="002C2FE6" w:rsidRPr="00902667" w:rsidRDefault="002C2FE6" w:rsidP="002C2FE6">
      <w:pPr>
        <w:pStyle w:val="ListParagraph"/>
        <w:rPr>
          <w:rFonts w:hint="eastAsia"/>
          <w:sz w:val="20"/>
          <w:szCs w:val="20"/>
        </w:rPr>
      </w:pPr>
    </w:p>
    <w:p w14:paraId="78BEB9EF" w14:textId="77777777" w:rsidR="000E0E7C" w:rsidRPr="00902667" w:rsidRDefault="000E0E7C" w:rsidP="000E0E7C">
      <w:pPr>
        <w:pStyle w:val="ListParagraph"/>
        <w:numPr>
          <w:ilvl w:val="0"/>
          <w:numId w:val="1"/>
        </w:numPr>
        <w:rPr>
          <w:rFonts w:hint="eastAsia"/>
          <w:sz w:val="20"/>
          <w:szCs w:val="20"/>
        </w:rPr>
      </w:pPr>
      <w:r w:rsidRPr="00902667">
        <w:rPr>
          <w:sz w:val="20"/>
          <w:szCs w:val="20"/>
        </w:rPr>
        <w:t>How to Partner with Dually-Boarded Physicians to Teach FM Residents</w:t>
      </w:r>
    </w:p>
    <w:p w14:paraId="75355F83" w14:textId="1B24A672" w:rsidR="009D4CE1" w:rsidRPr="00902667" w:rsidRDefault="009D4CE1" w:rsidP="009D4CE1">
      <w:pPr>
        <w:pStyle w:val="ListParagraph"/>
        <w:numPr>
          <w:ilvl w:val="1"/>
          <w:numId w:val="1"/>
        </w:numPr>
        <w:rPr>
          <w:rFonts w:hint="eastAsia"/>
          <w:sz w:val="20"/>
          <w:szCs w:val="20"/>
        </w:rPr>
      </w:pPr>
      <w:r w:rsidRPr="00902667">
        <w:rPr>
          <w:sz w:val="20"/>
          <w:szCs w:val="20"/>
        </w:rPr>
        <w:t>Behavioral Health Rotations</w:t>
      </w:r>
    </w:p>
    <w:p w14:paraId="1B9E18A8" w14:textId="31EAC92C" w:rsidR="009D4CE1" w:rsidRPr="00902667" w:rsidRDefault="009D4CE1" w:rsidP="009D4CE1">
      <w:pPr>
        <w:pStyle w:val="ListParagraph"/>
        <w:numPr>
          <w:ilvl w:val="2"/>
          <w:numId w:val="1"/>
        </w:numPr>
        <w:rPr>
          <w:rFonts w:hint="eastAsia"/>
          <w:sz w:val="20"/>
          <w:szCs w:val="20"/>
        </w:rPr>
      </w:pPr>
      <w:r w:rsidRPr="00902667">
        <w:rPr>
          <w:sz w:val="20"/>
          <w:szCs w:val="20"/>
        </w:rPr>
        <w:t xml:space="preserve">Even if practicing only psychiatry, often have a unique perspective </w:t>
      </w:r>
    </w:p>
    <w:p w14:paraId="18528CA8" w14:textId="4FC87077" w:rsidR="009D4CE1" w:rsidRPr="00902667" w:rsidRDefault="009D4CE1" w:rsidP="009D4CE1">
      <w:pPr>
        <w:pStyle w:val="ListParagraph"/>
        <w:numPr>
          <w:ilvl w:val="1"/>
          <w:numId w:val="1"/>
        </w:numPr>
        <w:rPr>
          <w:rFonts w:hint="eastAsia"/>
          <w:sz w:val="20"/>
          <w:szCs w:val="20"/>
        </w:rPr>
      </w:pPr>
      <w:r w:rsidRPr="00902667">
        <w:rPr>
          <w:sz w:val="20"/>
          <w:szCs w:val="20"/>
        </w:rPr>
        <w:t>Behavioral Health Lectures</w:t>
      </w:r>
    </w:p>
    <w:p w14:paraId="1734630C" w14:textId="02B6EA14" w:rsidR="009D4CE1" w:rsidRPr="00902667" w:rsidRDefault="009D4CE1" w:rsidP="009D4CE1">
      <w:pPr>
        <w:pStyle w:val="ListParagraph"/>
        <w:numPr>
          <w:ilvl w:val="2"/>
          <w:numId w:val="1"/>
        </w:numPr>
        <w:rPr>
          <w:rFonts w:hint="eastAsia"/>
          <w:sz w:val="20"/>
          <w:szCs w:val="20"/>
        </w:rPr>
      </w:pPr>
      <w:r w:rsidRPr="00902667">
        <w:rPr>
          <w:sz w:val="20"/>
          <w:szCs w:val="20"/>
        </w:rPr>
        <w:t>Often can bridge gap between psychiatry world and primary care world</w:t>
      </w:r>
    </w:p>
    <w:p w14:paraId="0D25EB0C" w14:textId="06D98C81" w:rsidR="009D4CE1" w:rsidRPr="00902667" w:rsidRDefault="009D4CE1" w:rsidP="009D4CE1">
      <w:pPr>
        <w:pStyle w:val="ListParagraph"/>
        <w:numPr>
          <w:ilvl w:val="3"/>
          <w:numId w:val="1"/>
        </w:numPr>
        <w:rPr>
          <w:rFonts w:hint="eastAsia"/>
          <w:sz w:val="20"/>
          <w:szCs w:val="20"/>
        </w:rPr>
      </w:pPr>
      <w:r w:rsidRPr="00902667">
        <w:rPr>
          <w:sz w:val="20"/>
          <w:szCs w:val="20"/>
        </w:rPr>
        <w:t>Collaborative Care: understand that attraction for psychiatrists and frustration for primary care doctors</w:t>
      </w:r>
    </w:p>
    <w:p w14:paraId="3E3EB604" w14:textId="20C617B6" w:rsidR="009D4CE1" w:rsidRPr="00902667" w:rsidRDefault="009D4CE1" w:rsidP="009D4CE1">
      <w:pPr>
        <w:pStyle w:val="ListParagraph"/>
        <w:numPr>
          <w:ilvl w:val="3"/>
          <w:numId w:val="1"/>
        </w:numPr>
        <w:rPr>
          <w:rFonts w:hint="eastAsia"/>
          <w:sz w:val="20"/>
          <w:szCs w:val="20"/>
        </w:rPr>
      </w:pPr>
      <w:r w:rsidRPr="00902667">
        <w:rPr>
          <w:sz w:val="20"/>
          <w:szCs w:val="20"/>
        </w:rPr>
        <w:t>Provide realistic and useful methods for interacting with primary care patients with behavioral health needs.</w:t>
      </w:r>
    </w:p>
    <w:p w14:paraId="6497708F" w14:textId="0C1671E7" w:rsidR="009D4CE1" w:rsidRPr="00902667" w:rsidRDefault="009D4CE1" w:rsidP="009D4CE1">
      <w:pPr>
        <w:pStyle w:val="ListParagraph"/>
        <w:numPr>
          <w:ilvl w:val="1"/>
          <w:numId w:val="1"/>
        </w:numPr>
        <w:rPr>
          <w:rFonts w:hint="eastAsia"/>
          <w:sz w:val="20"/>
          <w:szCs w:val="20"/>
        </w:rPr>
      </w:pPr>
      <w:r w:rsidRPr="00902667">
        <w:rPr>
          <w:sz w:val="20"/>
          <w:szCs w:val="20"/>
        </w:rPr>
        <w:t>Balint Groups</w:t>
      </w:r>
    </w:p>
    <w:p w14:paraId="6A885AF6" w14:textId="3CF61CC5" w:rsidR="009D4CE1" w:rsidRPr="00902667" w:rsidRDefault="009D4CE1" w:rsidP="009D4CE1">
      <w:pPr>
        <w:pStyle w:val="ListParagraph"/>
        <w:numPr>
          <w:ilvl w:val="2"/>
          <w:numId w:val="1"/>
        </w:numPr>
        <w:rPr>
          <w:rFonts w:hint="eastAsia"/>
          <w:sz w:val="20"/>
          <w:szCs w:val="20"/>
        </w:rPr>
      </w:pPr>
      <w:r w:rsidRPr="00902667">
        <w:rPr>
          <w:sz w:val="20"/>
          <w:szCs w:val="20"/>
        </w:rPr>
        <w:t>Often have been through Balint in primary care, perhaps individual therapy, perhaps group process</w:t>
      </w:r>
    </w:p>
    <w:p w14:paraId="46120928" w14:textId="396E7057" w:rsidR="009D4CE1" w:rsidRPr="00902667" w:rsidRDefault="009D4CE1" w:rsidP="009D4CE1">
      <w:pPr>
        <w:pStyle w:val="ListParagraph"/>
        <w:numPr>
          <w:ilvl w:val="1"/>
          <w:numId w:val="1"/>
        </w:numPr>
        <w:rPr>
          <w:rFonts w:hint="eastAsia"/>
          <w:sz w:val="20"/>
          <w:szCs w:val="20"/>
        </w:rPr>
      </w:pPr>
      <w:r w:rsidRPr="00902667">
        <w:rPr>
          <w:sz w:val="20"/>
          <w:szCs w:val="20"/>
        </w:rPr>
        <w:t>Integrated Behavioral Healthcare Programs</w:t>
      </w:r>
    </w:p>
    <w:p w14:paraId="5E074D95" w14:textId="6A09CD0A" w:rsidR="000E0E7C" w:rsidRDefault="009D4CE1" w:rsidP="003230B5">
      <w:pPr>
        <w:pStyle w:val="ListParagraph"/>
        <w:numPr>
          <w:ilvl w:val="2"/>
          <w:numId w:val="1"/>
        </w:numPr>
        <w:rPr>
          <w:rFonts w:hint="eastAsia"/>
          <w:sz w:val="20"/>
          <w:szCs w:val="20"/>
        </w:rPr>
      </w:pPr>
      <w:r w:rsidRPr="00902667">
        <w:rPr>
          <w:sz w:val="20"/>
          <w:szCs w:val="20"/>
        </w:rPr>
        <w:t>Natural interests in integrating primary care and behavioral healthcare</w:t>
      </w:r>
    </w:p>
    <w:p w14:paraId="2D8FB173" w14:textId="52650A79" w:rsidR="001A1170" w:rsidRDefault="001A1170" w:rsidP="001A1170">
      <w:pPr>
        <w:pStyle w:val="ListParagraph"/>
        <w:numPr>
          <w:ilvl w:val="1"/>
          <w:numId w:val="1"/>
        </w:numPr>
        <w:rPr>
          <w:rFonts w:hint="eastAsia"/>
          <w:sz w:val="20"/>
          <w:szCs w:val="20"/>
        </w:rPr>
      </w:pPr>
      <w:r>
        <w:rPr>
          <w:sz w:val="20"/>
          <w:szCs w:val="20"/>
        </w:rPr>
        <w:t>Your liaison to another department</w:t>
      </w:r>
    </w:p>
    <w:p w14:paraId="7C9745FE" w14:textId="51DB4EAC" w:rsidR="001A1170" w:rsidRDefault="001A1170" w:rsidP="001A1170">
      <w:pPr>
        <w:pStyle w:val="ListParagraph"/>
        <w:numPr>
          <w:ilvl w:val="2"/>
          <w:numId w:val="1"/>
        </w:numPr>
        <w:rPr>
          <w:rFonts w:hint="eastAsia"/>
          <w:sz w:val="20"/>
          <w:szCs w:val="20"/>
        </w:rPr>
      </w:pPr>
      <w:r>
        <w:rPr>
          <w:sz w:val="20"/>
          <w:szCs w:val="20"/>
        </w:rPr>
        <w:t>Collaborative research projects</w:t>
      </w:r>
    </w:p>
    <w:p w14:paraId="7EBA7304" w14:textId="342C981C" w:rsidR="001A1170" w:rsidRPr="003230B5" w:rsidRDefault="001A1170" w:rsidP="001A1170">
      <w:pPr>
        <w:pStyle w:val="ListParagraph"/>
        <w:numPr>
          <w:ilvl w:val="2"/>
          <w:numId w:val="1"/>
        </w:numPr>
        <w:rPr>
          <w:rFonts w:hint="eastAsia"/>
          <w:sz w:val="20"/>
          <w:szCs w:val="20"/>
        </w:rPr>
      </w:pPr>
      <w:r>
        <w:rPr>
          <w:sz w:val="20"/>
          <w:szCs w:val="20"/>
        </w:rPr>
        <w:t xml:space="preserve">Bridge to Psychiatry residents, medical students interested in psychiatry </w:t>
      </w:r>
    </w:p>
    <w:sectPr w:rsidR="001A1170" w:rsidRPr="003230B5" w:rsidSect="00230495">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altName w:val="Times New Roman"/>
    <w:panose1 w:val="02040503050406030204"/>
    <w:charset w:val="00"/>
    <w:family w:val="roman"/>
    <w:notTrueType/>
    <w:pitch w:val="default"/>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altName w:val="Arial"/>
    <w:panose1 w:val="020F0502020204030204"/>
    <w:charset w:val="0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00C0F"/>
    <w:multiLevelType w:val="hybridMultilevel"/>
    <w:tmpl w:val="F7FE5DF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885A1F"/>
    <w:multiLevelType w:val="hybridMultilevel"/>
    <w:tmpl w:val="3DD20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3FF5B6A"/>
    <w:multiLevelType w:val="hybridMultilevel"/>
    <w:tmpl w:val="99A83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F5A3A8F"/>
    <w:multiLevelType w:val="hybridMultilevel"/>
    <w:tmpl w:val="93849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25C9"/>
    <w:rsid w:val="000E0E7C"/>
    <w:rsid w:val="001A1170"/>
    <w:rsid w:val="00230495"/>
    <w:rsid w:val="002C2FE6"/>
    <w:rsid w:val="003230B5"/>
    <w:rsid w:val="00412EE9"/>
    <w:rsid w:val="00514AF0"/>
    <w:rsid w:val="005325C9"/>
    <w:rsid w:val="007F228C"/>
    <w:rsid w:val="00902667"/>
    <w:rsid w:val="009D4CE1"/>
    <w:rsid w:val="00B2126E"/>
    <w:rsid w:val="00B7580B"/>
    <w:rsid w:val="00BF090A"/>
    <w:rsid w:val="00EF108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A395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0E7C"/>
    <w:pPr>
      <w:ind w:left="720"/>
      <w:contextualSpacing/>
    </w:pPr>
  </w:style>
  <w:style w:type="table" w:styleId="TableGrid">
    <w:name w:val="Table Grid"/>
    <w:basedOn w:val="TableNormal"/>
    <w:uiPriority w:val="39"/>
    <w:rsid w:val="00902667"/>
    <w:pPr>
      <w:spacing w:after="0"/>
    </w:pPr>
    <w:rPr>
      <w:rFonts w:eastAsiaTheme="minorHAns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0E7C"/>
    <w:pPr>
      <w:ind w:left="720"/>
      <w:contextualSpacing/>
    </w:pPr>
  </w:style>
  <w:style w:type="table" w:styleId="TableGrid">
    <w:name w:val="Table Grid"/>
    <w:basedOn w:val="TableNormal"/>
    <w:uiPriority w:val="39"/>
    <w:rsid w:val="00902667"/>
    <w:pPr>
      <w:spacing w:after="0"/>
    </w:pPr>
    <w:rPr>
      <w:rFonts w:eastAsiaTheme="minorHAns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881</Words>
  <Characters>5022</Characters>
  <Application>Microsoft Macintosh Word</Application>
  <DocSecurity>0</DocSecurity>
  <Lines>41</Lines>
  <Paragraphs>11</Paragraphs>
  <ScaleCrop>false</ScaleCrop>
  <Company>University of Cincinnati</Company>
  <LinksUpToDate>false</LinksUpToDate>
  <CharactersWithSpaces>5892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Warnick Jr</dc:creator>
  <cp:keywords/>
  <dc:description/>
  <cp:lastModifiedBy>Traci Nolte</cp:lastModifiedBy>
  <cp:revision>2</cp:revision>
  <dcterms:created xsi:type="dcterms:W3CDTF">2016-09-19T17:09:00Z</dcterms:created>
  <dcterms:modified xsi:type="dcterms:W3CDTF">2016-09-19T17:09:00Z</dcterms:modified>
</cp:coreProperties>
</file>